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E8" w:rsidRPr="006A53E8" w:rsidRDefault="006A53E8" w:rsidP="00E963E4">
      <w:pPr>
        <w:spacing w:after="120" w:line="240" w:lineRule="auto"/>
        <w:contextualSpacing/>
        <w:jc w:val="center"/>
        <w:rPr>
          <w:b/>
          <w:sz w:val="32"/>
          <w:szCs w:val="32"/>
        </w:rPr>
      </w:pPr>
      <w:r w:rsidRPr="006A53E8">
        <w:rPr>
          <w:b/>
          <w:noProof/>
          <w:sz w:val="32"/>
          <w:szCs w:val="32"/>
        </w:rPr>
        <w:drawing>
          <wp:anchor distT="0" distB="0" distL="114300" distR="114300" simplePos="0" relativeHeight="251658240" behindDoc="0" locked="0" layoutInCell="1" allowOverlap="1" wp14:anchorId="01558FE9" wp14:editId="4A7E9BAF">
            <wp:simplePos x="0" y="0"/>
            <wp:positionH relativeFrom="column">
              <wp:posOffset>3230245</wp:posOffset>
            </wp:positionH>
            <wp:positionV relativeFrom="paragraph">
              <wp:posOffset>-821055</wp:posOffset>
            </wp:positionV>
            <wp:extent cx="1802130" cy="7715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TP-white-logo.jpg"/>
                    <pic:cNvPicPr/>
                  </pic:nvPicPr>
                  <pic:blipFill>
                    <a:blip r:embed="rId7">
                      <a:extLst>
                        <a:ext uri="{28A0092B-C50C-407E-A947-70E740481C1C}">
                          <a14:useLocalDpi xmlns:a14="http://schemas.microsoft.com/office/drawing/2010/main" val="0"/>
                        </a:ext>
                      </a:extLst>
                    </a:blip>
                    <a:stretch>
                      <a:fillRect/>
                    </a:stretch>
                  </pic:blipFill>
                  <pic:spPr>
                    <a:xfrm>
                      <a:off x="0" y="0"/>
                      <a:ext cx="1802130" cy="771525"/>
                    </a:xfrm>
                    <a:prstGeom prst="rect">
                      <a:avLst/>
                    </a:prstGeom>
                  </pic:spPr>
                </pic:pic>
              </a:graphicData>
            </a:graphic>
            <wp14:sizeRelH relativeFrom="page">
              <wp14:pctWidth>0</wp14:pctWidth>
            </wp14:sizeRelH>
            <wp14:sizeRelV relativeFrom="page">
              <wp14:pctHeight>0</wp14:pctHeight>
            </wp14:sizeRelV>
          </wp:anchor>
        </w:drawing>
      </w:r>
      <w:r w:rsidR="000D436B">
        <w:rPr>
          <w:b/>
          <w:sz w:val="32"/>
          <w:szCs w:val="32"/>
        </w:rPr>
        <w:t>Africa Transport Policy Forum</w:t>
      </w:r>
      <w:r w:rsidR="00E963E4">
        <w:rPr>
          <w:b/>
          <w:sz w:val="32"/>
          <w:szCs w:val="32"/>
        </w:rPr>
        <w:t xml:space="preserve"> </w:t>
      </w:r>
    </w:p>
    <w:p w:rsidR="003317F8" w:rsidRPr="006A53E8" w:rsidRDefault="000D436B" w:rsidP="00E963E4">
      <w:pPr>
        <w:spacing w:after="120" w:line="240" w:lineRule="auto"/>
        <w:contextualSpacing/>
        <w:jc w:val="center"/>
        <w:rPr>
          <w:b/>
          <w:sz w:val="32"/>
          <w:szCs w:val="32"/>
        </w:rPr>
      </w:pPr>
      <w:r>
        <w:rPr>
          <w:b/>
          <w:sz w:val="32"/>
          <w:szCs w:val="32"/>
        </w:rPr>
        <w:t>December 10-</w:t>
      </w:r>
      <w:r w:rsidR="003D3120">
        <w:rPr>
          <w:b/>
          <w:sz w:val="32"/>
          <w:szCs w:val="32"/>
        </w:rPr>
        <w:t>11, 2013</w:t>
      </w:r>
    </w:p>
    <w:p w:rsidR="003317F8" w:rsidRPr="006A53E8" w:rsidRDefault="00AD73E0" w:rsidP="00E963E4">
      <w:pPr>
        <w:spacing w:after="120" w:line="240" w:lineRule="auto"/>
        <w:contextualSpacing/>
        <w:jc w:val="center"/>
        <w:rPr>
          <w:i/>
          <w:sz w:val="24"/>
          <w:szCs w:val="24"/>
        </w:rPr>
      </w:pPr>
      <w:r w:rsidRPr="006A53E8">
        <w:rPr>
          <w:i/>
          <w:sz w:val="24"/>
          <w:szCs w:val="24"/>
        </w:rPr>
        <w:t>Tentative struc</w:t>
      </w:r>
      <w:r w:rsidR="003317F8" w:rsidRPr="006A53E8">
        <w:rPr>
          <w:i/>
          <w:sz w:val="24"/>
          <w:szCs w:val="24"/>
        </w:rPr>
        <w:t>ture and topics to be discussed</w:t>
      </w:r>
      <w:bookmarkStart w:id="0" w:name="_GoBack"/>
      <w:bookmarkEnd w:id="0"/>
    </w:p>
    <w:p w:rsidR="003317F8" w:rsidRDefault="003317F8" w:rsidP="00055249">
      <w:pPr>
        <w:spacing w:line="240" w:lineRule="auto"/>
        <w:contextualSpacing/>
        <w:rPr>
          <w:b/>
        </w:rPr>
      </w:pPr>
    </w:p>
    <w:p w:rsidR="008029B3" w:rsidRPr="00871197" w:rsidRDefault="008029B3" w:rsidP="008029B3">
      <w:pPr>
        <w:spacing w:line="240" w:lineRule="auto"/>
        <w:rPr>
          <w:rFonts w:cs="Times New Roman"/>
          <w:color w:val="000000"/>
        </w:rPr>
      </w:pPr>
      <w:r>
        <w:t xml:space="preserve">Please rate the </w:t>
      </w:r>
      <w:r w:rsidRPr="00871197">
        <w:rPr>
          <w:rFonts w:cs="Times New Roman"/>
          <w:b/>
          <w:bCs/>
          <w:color w:val="000000"/>
        </w:rPr>
        <w:t>Relevance of the proposed topics</w:t>
      </w:r>
      <w:r w:rsidRPr="00871197">
        <w:rPr>
          <w:rFonts w:cs="Times New Roman"/>
          <w:color w:val="000000"/>
        </w:rPr>
        <w:t>: To achieve this, we kindly ask that you "rank" the suggested topics on a scale from 0 to 4, based on your interest in the topic, its importance for transport policy development in Africa and its relevance to your own work.</w:t>
      </w:r>
    </w:p>
    <w:p w:rsidR="008029B3" w:rsidRPr="00871197" w:rsidRDefault="008029B3" w:rsidP="008029B3">
      <w:pPr>
        <w:autoSpaceDE w:val="0"/>
        <w:autoSpaceDN w:val="0"/>
        <w:adjustRightInd w:val="0"/>
        <w:spacing w:before="120" w:after="0" w:line="240" w:lineRule="auto"/>
        <w:ind w:left="1440"/>
        <w:rPr>
          <w:rFonts w:cs="Times New Roman"/>
          <w:color w:val="000000"/>
        </w:rPr>
      </w:pPr>
      <w:r w:rsidRPr="00871197">
        <w:rPr>
          <w:rFonts w:cs="Times New Roman"/>
          <w:b/>
          <w:bCs/>
          <w:color w:val="000000"/>
        </w:rPr>
        <w:t>0</w:t>
      </w:r>
      <w:r w:rsidRPr="00871197">
        <w:rPr>
          <w:rFonts w:cs="Times New Roman"/>
          <w:color w:val="000000"/>
        </w:rPr>
        <w:t xml:space="preserve">: I have no interest in this </w:t>
      </w:r>
      <w:proofErr w:type="gramStart"/>
      <w:r w:rsidRPr="00871197">
        <w:rPr>
          <w:rFonts w:cs="Times New Roman"/>
          <w:color w:val="000000"/>
        </w:rPr>
        <w:t>topic,</w:t>
      </w:r>
      <w:proofErr w:type="gramEnd"/>
      <w:r w:rsidRPr="00871197">
        <w:rPr>
          <w:rFonts w:cs="Times New Roman"/>
          <w:color w:val="000000"/>
        </w:rPr>
        <w:t xml:space="preserve"> I do not think it should be included in the agenda</w:t>
      </w:r>
    </w:p>
    <w:p w:rsidR="008029B3" w:rsidRPr="00871197" w:rsidRDefault="008029B3" w:rsidP="008029B3">
      <w:pPr>
        <w:autoSpaceDE w:val="0"/>
        <w:autoSpaceDN w:val="0"/>
        <w:adjustRightInd w:val="0"/>
        <w:spacing w:after="0" w:line="240" w:lineRule="auto"/>
        <w:ind w:left="1440"/>
        <w:rPr>
          <w:rFonts w:cs="Times New Roman"/>
          <w:color w:val="000000"/>
        </w:rPr>
      </w:pPr>
      <w:r w:rsidRPr="00871197">
        <w:rPr>
          <w:rFonts w:cs="Times New Roman"/>
          <w:b/>
          <w:bCs/>
          <w:color w:val="000000"/>
        </w:rPr>
        <w:t>1</w:t>
      </w:r>
      <w:r w:rsidRPr="00871197">
        <w:rPr>
          <w:rFonts w:cs="Times New Roman"/>
          <w:color w:val="000000"/>
        </w:rPr>
        <w:t xml:space="preserve">: I have little interest in this </w:t>
      </w:r>
      <w:proofErr w:type="gramStart"/>
      <w:r w:rsidRPr="00871197">
        <w:rPr>
          <w:rFonts w:cs="Times New Roman"/>
          <w:color w:val="000000"/>
        </w:rPr>
        <w:t>topic,</w:t>
      </w:r>
      <w:proofErr w:type="gramEnd"/>
      <w:r w:rsidRPr="00871197">
        <w:rPr>
          <w:rFonts w:cs="Times New Roman"/>
          <w:color w:val="000000"/>
        </w:rPr>
        <w:t xml:space="preserve"> it is a very low priority to me</w:t>
      </w:r>
    </w:p>
    <w:p w:rsidR="008029B3" w:rsidRPr="00871197" w:rsidRDefault="008029B3" w:rsidP="008029B3">
      <w:pPr>
        <w:autoSpaceDE w:val="0"/>
        <w:autoSpaceDN w:val="0"/>
        <w:adjustRightInd w:val="0"/>
        <w:spacing w:after="0" w:line="240" w:lineRule="auto"/>
        <w:ind w:left="1440"/>
        <w:rPr>
          <w:rFonts w:cs="Times New Roman"/>
          <w:color w:val="000000"/>
        </w:rPr>
      </w:pPr>
      <w:r w:rsidRPr="00871197">
        <w:rPr>
          <w:rFonts w:cs="Times New Roman"/>
          <w:b/>
          <w:bCs/>
          <w:color w:val="000000"/>
        </w:rPr>
        <w:t>2</w:t>
      </w:r>
      <w:r w:rsidRPr="00871197">
        <w:rPr>
          <w:rFonts w:cs="Times New Roman"/>
          <w:color w:val="000000"/>
        </w:rPr>
        <w:t>: I am moderately interested</w:t>
      </w:r>
    </w:p>
    <w:p w:rsidR="008029B3" w:rsidRPr="00871197" w:rsidRDefault="008029B3" w:rsidP="008029B3">
      <w:pPr>
        <w:autoSpaceDE w:val="0"/>
        <w:autoSpaceDN w:val="0"/>
        <w:adjustRightInd w:val="0"/>
        <w:spacing w:after="0" w:line="240" w:lineRule="auto"/>
        <w:ind w:left="1440"/>
        <w:rPr>
          <w:rFonts w:cs="Times New Roman"/>
          <w:color w:val="000000"/>
        </w:rPr>
      </w:pPr>
      <w:r w:rsidRPr="00871197">
        <w:rPr>
          <w:rFonts w:cs="Times New Roman"/>
          <w:b/>
          <w:bCs/>
          <w:color w:val="000000"/>
        </w:rPr>
        <w:t>3</w:t>
      </w:r>
      <w:r w:rsidRPr="00871197">
        <w:rPr>
          <w:rFonts w:cs="Times New Roman"/>
          <w:color w:val="000000"/>
        </w:rPr>
        <w:t xml:space="preserve">: I am interested in this </w:t>
      </w:r>
      <w:proofErr w:type="gramStart"/>
      <w:r w:rsidRPr="00871197">
        <w:rPr>
          <w:rFonts w:cs="Times New Roman"/>
          <w:color w:val="000000"/>
        </w:rPr>
        <w:t>topic,</w:t>
      </w:r>
      <w:proofErr w:type="gramEnd"/>
      <w:r w:rsidRPr="00871197">
        <w:rPr>
          <w:rFonts w:cs="Times New Roman"/>
          <w:color w:val="000000"/>
        </w:rPr>
        <w:t xml:space="preserve"> I do believe it should be included in the agenda</w:t>
      </w:r>
    </w:p>
    <w:p w:rsidR="008029B3" w:rsidRPr="00871197" w:rsidRDefault="008029B3" w:rsidP="008029B3">
      <w:pPr>
        <w:autoSpaceDE w:val="0"/>
        <w:autoSpaceDN w:val="0"/>
        <w:adjustRightInd w:val="0"/>
        <w:spacing w:line="240" w:lineRule="auto"/>
        <w:ind w:left="1440"/>
        <w:rPr>
          <w:rFonts w:cs="Times New Roman"/>
          <w:color w:val="000000"/>
        </w:rPr>
      </w:pPr>
      <w:r w:rsidRPr="00871197">
        <w:rPr>
          <w:rFonts w:cs="Times New Roman"/>
          <w:b/>
          <w:bCs/>
          <w:color w:val="000000"/>
        </w:rPr>
        <w:t>4</w:t>
      </w:r>
      <w:r w:rsidRPr="00871197">
        <w:rPr>
          <w:rFonts w:cs="Times New Roman"/>
          <w:color w:val="000000"/>
        </w:rPr>
        <w:t xml:space="preserve">: I am extremely interested in this </w:t>
      </w:r>
      <w:proofErr w:type="gramStart"/>
      <w:r w:rsidRPr="00871197">
        <w:rPr>
          <w:rFonts w:cs="Times New Roman"/>
          <w:color w:val="000000"/>
        </w:rPr>
        <w:t>topic,</w:t>
      </w:r>
      <w:proofErr w:type="gramEnd"/>
      <w:r w:rsidRPr="00871197">
        <w:rPr>
          <w:rFonts w:cs="Times New Roman"/>
          <w:color w:val="000000"/>
        </w:rPr>
        <w:t xml:space="preserve"> this is a top priority to me</w:t>
      </w:r>
    </w:p>
    <w:p w:rsidR="008029B3" w:rsidRDefault="008029B3" w:rsidP="008029B3">
      <w:pPr>
        <w:autoSpaceDE w:val="0"/>
        <w:autoSpaceDN w:val="0"/>
        <w:adjustRightInd w:val="0"/>
        <w:spacing w:after="0" w:line="240" w:lineRule="auto"/>
        <w:rPr>
          <w:rFonts w:cs="Times New Roman"/>
          <w:color w:val="000000"/>
        </w:rPr>
      </w:pPr>
      <w:r w:rsidRPr="00871197">
        <w:rPr>
          <w:rFonts w:cs="Times New Roman"/>
          <w:color w:val="000000"/>
        </w:rPr>
        <w:t>Next to each suggested topic, there is room on the form to make</w:t>
      </w:r>
      <w:r w:rsidRPr="00871197">
        <w:rPr>
          <w:rFonts w:cs="Times New Roman"/>
          <w:b/>
          <w:bCs/>
          <w:color w:val="000000"/>
        </w:rPr>
        <w:t xml:space="preserve"> additional comments</w:t>
      </w:r>
      <w:r w:rsidRPr="00871197">
        <w:rPr>
          <w:rFonts w:cs="Times New Roman"/>
          <w:color w:val="000000"/>
        </w:rPr>
        <w:t xml:space="preserve"> on the suggested topics as needed (e.g. suggestions to narrow down the proposed topic, focus on one particular aspect, present one concrete example)</w:t>
      </w:r>
    </w:p>
    <w:p w:rsidR="008029B3" w:rsidRPr="00871197" w:rsidRDefault="008029B3" w:rsidP="008029B3">
      <w:pPr>
        <w:autoSpaceDE w:val="0"/>
        <w:autoSpaceDN w:val="0"/>
        <w:adjustRightInd w:val="0"/>
        <w:spacing w:after="0" w:line="240" w:lineRule="auto"/>
        <w:rPr>
          <w:rFonts w:cs="Times New Roman"/>
          <w:color w:val="000000"/>
        </w:rPr>
      </w:pPr>
    </w:p>
    <w:p w:rsidR="008029B3" w:rsidRDefault="008029B3" w:rsidP="008029B3">
      <w:pPr>
        <w:autoSpaceDE w:val="0"/>
        <w:autoSpaceDN w:val="0"/>
        <w:adjustRightInd w:val="0"/>
        <w:spacing w:after="0" w:line="240" w:lineRule="auto"/>
        <w:rPr>
          <w:rFonts w:cs="Times New Roman"/>
          <w:color w:val="000000"/>
        </w:rPr>
      </w:pPr>
      <w:r w:rsidRPr="00871197">
        <w:rPr>
          <w:rFonts w:cs="Times New Roman"/>
          <w:color w:val="000000"/>
        </w:rPr>
        <w:t xml:space="preserve">At the end of the document, you will find a table where you may </w:t>
      </w:r>
      <w:r w:rsidRPr="00871197">
        <w:rPr>
          <w:rFonts w:cs="Times New Roman"/>
          <w:b/>
          <w:bCs/>
          <w:color w:val="000000"/>
        </w:rPr>
        <w:t>suggest any other topics</w:t>
      </w:r>
      <w:r w:rsidRPr="00871197">
        <w:rPr>
          <w:rFonts w:cs="Times New Roman"/>
          <w:color w:val="000000"/>
        </w:rPr>
        <w:t xml:space="preserve"> that you think might be worth discussing but have not been listed in our preliminary agenda.</w:t>
      </w:r>
    </w:p>
    <w:p w:rsidR="008029B3" w:rsidRPr="00871197" w:rsidRDefault="008029B3" w:rsidP="008029B3">
      <w:pPr>
        <w:autoSpaceDE w:val="0"/>
        <w:autoSpaceDN w:val="0"/>
        <w:adjustRightInd w:val="0"/>
        <w:spacing w:after="0" w:line="240" w:lineRule="auto"/>
        <w:rPr>
          <w:rFonts w:cs="Times New Roman"/>
          <w:color w:val="000000"/>
        </w:rPr>
      </w:pPr>
    </w:p>
    <w:p w:rsidR="008029B3" w:rsidRPr="00871197" w:rsidRDefault="008029B3" w:rsidP="008029B3">
      <w:pPr>
        <w:autoSpaceDE w:val="0"/>
        <w:autoSpaceDN w:val="0"/>
        <w:adjustRightInd w:val="0"/>
        <w:spacing w:after="0" w:line="240" w:lineRule="auto"/>
        <w:rPr>
          <w:rFonts w:cs="Times New Roman"/>
          <w:color w:val="000000"/>
        </w:rPr>
      </w:pPr>
      <w:r w:rsidRPr="00871197">
        <w:rPr>
          <w:rFonts w:cs="Times New Roman"/>
          <w:color w:val="000000"/>
        </w:rPr>
        <w:t>We also hope that you will be willing to share your experiences during the forum. Please identify in your suggestions the presentations that you propose to make during the forum.</w:t>
      </w:r>
    </w:p>
    <w:p w:rsidR="008029B3" w:rsidRDefault="008029B3" w:rsidP="008029B3">
      <w:pPr>
        <w:autoSpaceDE w:val="0"/>
        <w:autoSpaceDN w:val="0"/>
        <w:adjustRightInd w:val="0"/>
        <w:spacing w:after="0" w:line="240" w:lineRule="auto"/>
        <w:rPr>
          <w:rFonts w:cs="Times New Roman"/>
          <w:color w:val="000000"/>
        </w:rPr>
      </w:pPr>
    </w:p>
    <w:p w:rsidR="008029B3" w:rsidRDefault="008029B3" w:rsidP="008029B3">
      <w:pPr>
        <w:autoSpaceDE w:val="0"/>
        <w:autoSpaceDN w:val="0"/>
        <w:adjustRightInd w:val="0"/>
        <w:spacing w:after="0" w:line="240" w:lineRule="auto"/>
        <w:rPr>
          <w:rFonts w:cs="Times New Roman"/>
          <w:b/>
          <w:i/>
          <w:color w:val="000000"/>
        </w:rPr>
      </w:pPr>
      <w:r w:rsidRPr="008029B3">
        <w:rPr>
          <w:rFonts w:cs="Times New Roman"/>
          <w:b/>
          <w:i/>
          <w:color w:val="000000"/>
        </w:rPr>
        <w:t xml:space="preserve">When reviewing the agenda, </w:t>
      </w:r>
      <w:r w:rsidRPr="008029B3">
        <w:rPr>
          <w:rFonts w:cs="Times New Roman"/>
          <w:b/>
          <w:i/>
          <w:iCs/>
          <w:color w:val="000000"/>
        </w:rPr>
        <w:t>please bear in mind the following aspects</w:t>
      </w:r>
      <w:r w:rsidRPr="008029B3">
        <w:rPr>
          <w:rFonts w:cs="Times New Roman"/>
          <w:b/>
          <w:i/>
          <w:color w:val="000000"/>
        </w:rPr>
        <w:t>:</w:t>
      </w:r>
    </w:p>
    <w:p w:rsidR="008029B3" w:rsidRPr="008029B3" w:rsidRDefault="008029B3" w:rsidP="008029B3">
      <w:pPr>
        <w:autoSpaceDE w:val="0"/>
        <w:autoSpaceDN w:val="0"/>
        <w:adjustRightInd w:val="0"/>
        <w:spacing w:after="0" w:line="240" w:lineRule="auto"/>
        <w:rPr>
          <w:rFonts w:cs="Times New Roman"/>
          <w:color w:val="000000"/>
        </w:rPr>
      </w:pPr>
    </w:p>
    <w:p w:rsidR="008029B3" w:rsidRPr="00871197" w:rsidRDefault="008029B3" w:rsidP="008029B3">
      <w:pPr>
        <w:numPr>
          <w:ilvl w:val="0"/>
          <w:numId w:val="12"/>
        </w:numPr>
        <w:autoSpaceDE w:val="0"/>
        <w:autoSpaceDN w:val="0"/>
        <w:adjustRightInd w:val="0"/>
        <w:spacing w:after="0" w:line="240" w:lineRule="auto"/>
        <w:rPr>
          <w:rFonts w:cs="Times New Roman"/>
          <w:b/>
          <w:bCs/>
          <w:color w:val="000000"/>
        </w:rPr>
      </w:pPr>
      <w:r w:rsidRPr="00871197">
        <w:rPr>
          <w:rFonts w:cs="Times New Roman"/>
          <w:color w:val="000000"/>
        </w:rPr>
        <w:t xml:space="preserve">The agenda should focus on </w:t>
      </w:r>
      <w:r w:rsidRPr="00871197">
        <w:rPr>
          <w:rFonts w:cs="Times New Roman"/>
          <w:b/>
          <w:bCs/>
          <w:color w:val="000000"/>
        </w:rPr>
        <w:t>concrete, hands-on discussions</w:t>
      </w:r>
      <w:r w:rsidRPr="00871197">
        <w:rPr>
          <w:rFonts w:cs="Times New Roman"/>
          <w:color w:val="000000"/>
        </w:rPr>
        <w:t xml:space="preserve"> that will bring </w:t>
      </w:r>
      <w:r>
        <w:rPr>
          <w:rFonts w:cs="Times New Roman"/>
          <w:color w:val="000000"/>
        </w:rPr>
        <w:t>added</w:t>
      </w:r>
      <w:r w:rsidRPr="00871197">
        <w:rPr>
          <w:rFonts w:cs="Times New Roman"/>
          <w:color w:val="000000"/>
        </w:rPr>
        <w:t xml:space="preserve"> value to our attendees and stakeholders; participants often complain that, despite the indisputable quality of most events, sessions tend to be too academic and abstract, with few </w:t>
      </w:r>
      <w:r w:rsidRPr="00871197">
        <w:rPr>
          <w:rFonts w:cs="Times New Roman"/>
          <w:b/>
          <w:bCs/>
          <w:color w:val="000000"/>
        </w:rPr>
        <w:t>takeaways that they can directly apply to their job</w:t>
      </w:r>
      <w:r>
        <w:rPr>
          <w:rFonts w:cs="Times New Roman"/>
          <w:b/>
          <w:bCs/>
          <w:color w:val="000000"/>
        </w:rPr>
        <w:t>/function</w:t>
      </w:r>
      <w:r w:rsidRPr="00871197">
        <w:rPr>
          <w:rFonts w:cs="Times New Roman"/>
          <w:bCs/>
          <w:color w:val="000000"/>
        </w:rPr>
        <w:t>.</w:t>
      </w:r>
    </w:p>
    <w:p w:rsidR="008029B3" w:rsidRPr="00871197" w:rsidRDefault="008029B3" w:rsidP="008029B3">
      <w:pPr>
        <w:numPr>
          <w:ilvl w:val="0"/>
          <w:numId w:val="12"/>
        </w:numPr>
        <w:autoSpaceDE w:val="0"/>
        <w:autoSpaceDN w:val="0"/>
        <w:adjustRightInd w:val="0"/>
        <w:spacing w:after="0" w:line="240" w:lineRule="auto"/>
        <w:rPr>
          <w:rFonts w:cs="Times New Roman"/>
          <w:b/>
          <w:bCs/>
          <w:color w:val="000000"/>
        </w:rPr>
      </w:pPr>
      <w:r w:rsidRPr="00871197">
        <w:rPr>
          <w:rFonts w:cs="Times New Roman"/>
          <w:color w:val="000000"/>
        </w:rPr>
        <w:t xml:space="preserve">When making suggestions for new sessions, please ensure that your proposals provide opportunities for </w:t>
      </w:r>
      <w:r w:rsidRPr="00871197">
        <w:rPr>
          <w:rFonts w:cs="Times New Roman"/>
          <w:b/>
          <w:bCs/>
          <w:color w:val="000000"/>
        </w:rPr>
        <w:t>discussion and exchange among all participants</w:t>
      </w:r>
      <w:r w:rsidRPr="00871197">
        <w:rPr>
          <w:rFonts w:cs="Times New Roman"/>
          <w:bCs/>
          <w:color w:val="000000"/>
        </w:rPr>
        <w:t>.</w:t>
      </w:r>
    </w:p>
    <w:p w:rsidR="008029B3" w:rsidRPr="00871197" w:rsidRDefault="008029B3" w:rsidP="008029B3">
      <w:pPr>
        <w:numPr>
          <w:ilvl w:val="0"/>
          <w:numId w:val="12"/>
        </w:numPr>
        <w:autoSpaceDE w:val="0"/>
        <w:autoSpaceDN w:val="0"/>
        <w:adjustRightInd w:val="0"/>
        <w:spacing w:after="0" w:line="240" w:lineRule="auto"/>
        <w:rPr>
          <w:rFonts w:cs="Times New Roman"/>
          <w:b/>
          <w:bCs/>
          <w:color w:val="000000"/>
        </w:rPr>
      </w:pPr>
      <w:r w:rsidRPr="00871197">
        <w:rPr>
          <w:rFonts w:cs="Times New Roman"/>
          <w:color w:val="000000"/>
        </w:rPr>
        <w:t xml:space="preserve">All sessions should be </w:t>
      </w:r>
      <w:r w:rsidRPr="00871197">
        <w:rPr>
          <w:rFonts w:cs="Times New Roman"/>
          <w:b/>
          <w:bCs/>
          <w:color w:val="000000"/>
        </w:rPr>
        <w:t>aligned with SSATP's key strategic priorities in its current development plan</w:t>
      </w:r>
      <w:r w:rsidRPr="00871197">
        <w:rPr>
          <w:rFonts w:cs="Times New Roman"/>
          <w:bCs/>
          <w:color w:val="000000"/>
        </w:rPr>
        <w:t>:</w:t>
      </w:r>
    </w:p>
    <w:p w:rsidR="008029B3" w:rsidRDefault="008029B3" w:rsidP="008029B3">
      <w:pPr>
        <w:pStyle w:val="ListParagraph"/>
        <w:numPr>
          <w:ilvl w:val="0"/>
          <w:numId w:val="11"/>
        </w:numPr>
        <w:autoSpaceDE w:val="0"/>
        <w:autoSpaceDN w:val="0"/>
        <w:adjustRightInd w:val="0"/>
        <w:spacing w:after="0" w:line="240" w:lineRule="auto"/>
        <w:ind w:firstLine="0"/>
        <w:rPr>
          <w:rFonts w:cs="Times New Roman"/>
          <w:bCs/>
          <w:color w:val="000000"/>
        </w:rPr>
      </w:pPr>
      <w:r w:rsidRPr="008029B3">
        <w:rPr>
          <w:rFonts w:cs="Times New Roman"/>
          <w:bCs/>
          <w:color w:val="000000"/>
        </w:rPr>
        <w:t>Comprehensive pro-poor pro-growth  transport sector policies and strategies</w:t>
      </w:r>
      <w:r>
        <w:rPr>
          <w:rFonts w:cs="Times New Roman"/>
          <w:bCs/>
          <w:color w:val="000000"/>
        </w:rPr>
        <w:t>;</w:t>
      </w:r>
    </w:p>
    <w:p w:rsidR="008029B3" w:rsidRDefault="008029B3" w:rsidP="008029B3">
      <w:pPr>
        <w:pStyle w:val="ListParagraph"/>
        <w:numPr>
          <w:ilvl w:val="0"/>
          <w:numId w:val="11"/>
        </w:numPr>
        <w:autoSpaceDE w:val="0"/>
        <w:autoSpaceDN w:val="0"/>
        <w:adjustRightInd w:val="0"/>
        <w:spacing w:after="0" w:line="240" w:lineRule="auto"/>
        <w:ind w:firstLine="0"/>
        <w:rPr>
          <w:rFonts w:cs="Times New Roman"/>
          <w:bCs/>
          <w:color w:val="000000"/>
        </w:rPr>
      </w:pPr>
      <w:r w:rsidRPr="008029B3">
        <w:rPr>
          <w:rFonts w:cs="Times New Roman"/>
          <w:bCs/>
          <w:color w:val="000000"/>
        </w:rPr>
        <w:t>Effective institutional and financial arrangements in the road sector</w:t>
      </w:r>
      <w:r>
        <w:rPr>
          <w:rFonts w:cs="Times New Roman"/>
          <w:bCs/>
          <w:color w:val="000000"/>
        </w:rPr>
        <w:t>; and</w:t>
      </w:r>
    </w:p>
    <w:p w:rsidR="008029B3" w:rsidRPr="008029B3" w:rsidRDefault="008029B3" w:rsidP="008029B3">
      <w:pPr>
        <w:pStyle w:val="ListParagraph"/>
        <w:numPr>
          <w:ilvl w:val="0"/>
          <w:numId w:val="11"/>
        </w:numPr>
        <w:autoSpaceDE w:val="0"/>
        <w:autoSpaceDN w:val="0"/>
        <w:adjustRightInd w:val="0"/>
        <w:spacing w:after="0" w:line="240" w:lineRule="auto"/>
        <w:ind w:firstLine="0"/>
        <w:rPr>
          <w:rFonts w:cs="Times New Roman"/>
          <w:bCs/>
          <w:color w:val="000000"/>
        </w:rPr>
      </w:pPr>
      <w:r w:rsidRPr="008029B3">
        <w:rPr>
          <w:rFonts w:cs="Times New Roman"/>
          <w:bCs/>
          <w:color w:val="000000"/>
        </w:rPr>
        <w:t>Trade facilitation measures for better regional integration.</w:t>
      </w:r>
    </w:p>
    <w:p w:rsidR="008029B3" w:rsidRDefault="008029B3" w:rsidP="008029B3">
      <w:pPr>
        <w:spacing w:line="240" w:lineRule="auto"/>
        <w:contextualSpacing/>
        <w:rPr>
          <w:b/>
        </w:rPr>
      </w:pPr>
    </w:p>
    <w:p w:rsidR="003317F8" w:rsidRDefault="00AD73E0" w:rsidP="00055249">
      <w:pPr>
        <w:pBdr>
          <w:bottom w:val="single" w:sz="6" w:space="1" w:color="auto"/>
        </w:pBdr>
        <w:spacing w:line="240" w:lineRule="auto"/>
        <w:contextualSpacing/>
        <w:rPr>
          <w:b/>
        </w:rPr>
      </w:pPr>
      <w:r w:rsidRPr="003317F8">
        <w:rPr>
          <w:b/>
        </w:rPr>
        <w:lastRenderedPageBreak/>
        <w:t xml:space="preserve">DAY 1: </w:t>
      </w:r>
      <w:r w:rsidR="00CA39C2">
        <w:rPr>
          <w:b/>
        </w:rPr>
        <w:t>GOVERNANCE – SSATP FLAGSHIP PROJECTS</w:t>
      </w:r>
    </w:p>
    <w:p w:rsidR="00197F6F" w:rsidRDefault="00197F6F" w:rsidP="00055249">
      <w:pPr>
        <w:spacing w:line="240" w:lineRule="auto"/>
        <w:contextualSpacing/>
        <w:rPr>
          <w:b/>
        </w:rPr>
      </w:pPr>
    </w:p>
    <w:p w:rsidR="00F95B7E" w:rsidRDefault="00F95B7E" w:rsidP="00C12908">
      <w:pPr>
        <w:spacing w:after="240" w:line="240" w:lineRule="auto"/>
        <w:contextualSpacing/>
        <w:rPr>
          <w:b/>
        </w:rPr>
      </w:pPr>
      <w:r w:rsidRPr="003317F8">
        <w:rPr>
          <w:b/>
        </w:rPr>
        <w:t>TRANSPORT GOVERNANCE IN AFRICA</w:t>
      </w:r>
    </w:p>
    <w:p w:rsidR="00C12908" w:rsidRDefault="00C12908" w:rsidP="00C12908">
      <w:pPr>
        <w:spacing w:after="240" w:line="240" w:lineRule="auto"/>
        <w:contextualSpacing/>
      </w:pPr>
    </w:p>
    <w:p w:rsidR="00F95B7E" w:rsidRPr="006D5631" w:rsidRDefault="00F95B7E" w:rsidP="00C12908">
      <w:pPr>
        <w:spacing w:before="200" w:line="240" w:lineRule="auto"/>
        <w:contextualSpacing/>
      </w:pPr>
      <w:r w:rsidRPr="006D5631">
        <w:t>The issue of transport governance in A</w:t>
      </w:r>
      <w:r w:rsidR="00CA39C2" w:rsidRPr="006D5631">
        <w:t>frica would be explored from three</w:t>
      </w:r>
      <w:r w:rsidRPr="006D5631">
        <w:t xml:space="preserve"> different angles:</w:t>
      </w:r>
    </w:p>
    <w:p w:rsidR="00C12908" w:rsidRPr="00C12908" w:rsidRDefault="00C12908" w:rsidP="00C12908">
      <w:pPr>
        <w:spacing w:before="200" w:line="240" w:lineRule="auto"/>
        <w:contextualSpacing/>
        <w:rPr>
          <w:sz w:val="24"/>
          <w:szCs w:val="24"/>
        </w:rPr>
      </w:pPr>
    </w:p>
    <w:p w:rsidR="00F95B7E" w:rsidRPr="00C12908" w:rsidRDefault="00F95B7E" w:rsidP="00895237">
      <w:pPr>
        <w:spacing w:line="240" w:lineRule="auto"/>
        <w:ind w:left="720" w:hanging="720"/>
        <w:contextualSpacing/>
        <w:rPr>
          <w:b/>
          <w:i/>
          <w:sz w:val="24"/>
          <w:szCs w:val="24"/>
        </w:rPr>
      </w:pPr>
      <w:r w:rsidRPr="00C12908">
        <w:rPr>
          <w:b/>
          <w:i/>
          <w:sz w:val="24"/>
          <w:szCs w:val="24"/>
        </w:rPr>
        <w:t>Institutions</w:t>
      </w:r>
    </w:p>
    <w:p w:rsidR="00F95B7E" w:rsidRPr="003317F8" w:rsidRDefault="00F95B7E" w:rsidP="00055249">
      <w:pPr>
        <w:spacing w:line="240" w:lineRule="auto"/>
        <w:contextualSpacing/>
        <w:rPr>
          <w:b/>
        </w:rPr>
      </w:pPr>
    </w:p>
    <w:tbl>
      <w:tblPr>
        <w:tblStyle w:val="TableGrid"/>
        <w:tblW w:w="5000" w:type="pct"/>
        <w:tblLayout w:type="fixed"/>
        <w:tblLook w:val="04A0" w:firstRow="1" w:lastRow="0" w:firstColumn="1" w:lastColumn="0" w:noHBand="0" w:noVBand="1"/>
      </w:tblPr>
      <w:tblGrid>
        <w:gridCol w:w="1883"/>
        <w:gridCol w:w="4343"/>
        <w:gridCol w:w="543"/>
        <w:gridCol w:w="540"/>
        <w:gridCol w:w="451"/>
        <w:gridCol w:w="451"/>
        <w:gridCol w:w="509"/>
        <w:gridCol w:w="4456"/>
      </w:tblGrid>
      <w:tr w:rsidR="00763052" w:rsidRPr="00E25667" w:rsidTr="00895237">
        <w:tc>
          <w:tcPr>
            <w:tcW w:w="715"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Title of the session</w:t>
            </w:r>
          </w:p>
        </w:tc>
        <w:tc>
          <w:tcPr>
            <w:tcW w:w="1648"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Description</w:t>
            </w:r>
          </w:p>
        </w:tc>
        <w:tc>
          <w:tcPr>
            <w:tcW w:w="946" w:type="pct"/>
            <w:gridSpan w:val="5"/>
            <w:shd w:val="clear" w:color="auto" w:fill="E5DFEC" w:themeFill="accent4" w:themeFillTint="33"/>
            <w:vAlign w:val="center"/>
          </w:tcPr>
          <w:p w:rsidR="002C55E7" w:rsidRPr="00763052" w:rsidRDefault="003B08E6" w:rsidP="00763052">
            <w:pPr>
              <w:contextualSpacing/>
              <w:jc w:val="center"/>
              <w:rPr>
                <w:b/>
                <w:i/>
                <w:sz w:val="18"/>
                <w:szCs w:val="18"/>
              </w:rPr>
            </w:pPr>
            <w:r w:rsidRPr="00763052">
              <w:rPr>
                <w:b/>
                <w:i/>
                <w:sz w:val="18"/>
                <w:szCs w:val="18"/>
              </w:rPr>
              <w:t>How would you rank the session? (Importance/</w:t>
            </w:r>
            <w:r w:rsidR="00CA39C2" w:rsidRPr="00763052">
              <w:rPr>
                <w:b/>
                <w:i/>
                <w:sz w:val="18"/>
                <w:szCs w:val="18"/>
              </w:rPr>
              <w:t xml:space="preserve"> </w:t>
            </w:r>
            <w:r w:rsidRPr="00763052">
              <w:rPr>
                <w:b/>
                <w:i/>
                <w:sz w:val="18"/>
                <w:szCs w:val="18"/>
              </w:rPr>
              <w:t>Relevance of the topic)</w:t>
            </w:r>
          </w:p>
        </w:tc>
        <w:tc>
          <w:tcPr>
            <w:tcW w:w="1691"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Additional comments</w:t>
            </w:r>
          </w:p>
        </w:tc>
      </w:tr>
      <w:tr w:rsidR="00725770" w:rsidRPr="00E25667" w:rsidTr="00895237">
        <w:tc>
          <w:tcPr>
            <w:tcW w:w="715" w:type="pct"/>
            <w:vMerge/>
          </w:tcPr>
          <w:p w:rsidR="002C55E7" w:rsidRPr="003B08E6" w:rsidRDefault="002C55E7" w:rsidP="00055249">
            <w:pPr>
              <w:contextualSpacing/>
              <w:rPr>
                <w:b/>
                <w:sz w:val="18"/>
                <w:szCs w:val="18"/>
              </w:rPr>
            </w:pPr>
          </w:p>
        </w:tc>
        <w:tc>
          <w:tcPr>
            <w:tcW w:w="1648" w:type="pct"/>
            <w:vMerge/>
          </w:tcPr>
          <w:p w:rsidR="002C55E7" w:rsidRPr="003B08E6" w:rsidRDefault="002C55E7" w:rsidP="00055249">
            <w:pPr>
              <w:contextualSpacing/>
              <w:rPr>
                <w:b/>
                <w:sz w:val="18"/>
                <w:szCs w:val="18"/>
              </w:rPr>
            </w:pPr>
          </w:p>
        </w:tc>
        <w:tc>
          <w:tcPr>
            <w:tcW w:w="206" w:type="pct"/>
            <w:shd w:val="clear" w:color="auto" w:fill="E5DFEC" w:themeFill="accent4" w:themeFillTint="33"/>
          </w:tcPr>
          <w:p w:rsidR="002C55E7" w:rsidRPr="00763052" w:rsidRDefault="002C55E7" w:rsidP="00055249">
            <w:pPr>
              <w:contextualSpacing/>
              <w:rPr>
                <w:b/>
                <w:sz w:val="18"/>
                <w:szCs w:val="18"/>
              </w:rPr>
            </w:pPr>
            <w:r w:rsidRPr="00763052">
              <w:rPr>
                <w:b/>
                <w:sz w:val="18"/>
                <w:szCs w:val="18"/>
              </w:rPr>
              <w:t>0</w:t>
            </w:r>
          </w:p>
        </w:tc>
        <w:tc>
          <w:tcPr>
            <w:tcW w:w="205" w:type="pct"/>
            <w:shd w:val="clear" w:color="auto" w:fill="E5DFEC" w:themeFill="accent4" w:themeFillTint="33"/>
          </w:tcPr>
          <w:p w:rsidR="002C55E7" w:rsidRPr="00763052" w:rsidRDefault="002C55E7" w:rsidP="00055249">
            <w:pPr>
              <w:contextualSpacing/>
              <w:rPr>
                <w:b/>
                <w:sz w:val="18"/>
                <w:szCs w:val="18"/>
              </w:rPr>
            </w:pPr>
            <w:r w:rsidRPr="00763052">
              <w:rPr>
                <w:b/>
                <w:sz w:val="18"/>
                <w:szCs w:val="18"/>
              </w:rPr>
              <w:t>1</w:t>
            </w:r>
          </w:p>
        </w:tc>
        <w:tc>
          <w:tcPr>
            <w:tcW w:w="171" w:type="pct"/>
            <w:shd w:val="clear" w:color="auto" w:fill="E5DFEC" w:themeFill="accent4" w:themeFillTint="33"/>
          </w:tcPr>
          <w:p w:rsidR="002C55E7" w:rsidRPr="00763052" w:rsidRDefault="002C55E7" w:rsidP="00055249">
            <w:pPr>
              <w:contextualSpacing/>
              <w:rPr>
                <w:b/>
                <w:sz w:val="18"/>
                <w:szCs w:val="18"/>
              </w:rPr>
            </w:pPr>
            <w:r w:rsidRPr="00763052">
              <w:rPr>
                <w:b/>
                <w:sz w:val="18"/>
                <w:szCs w:val="18"/>
              </w:rPr>
              <w:t>2</w:t>
            </w:r>
          </w:p>
        </w:tc>
        <w:tc>
          <w:tcPr>
            <w:tcW w:w="171" w:type="pct"/>
            <w:shd w:val="clear" w:color="auto" w:fill="E5DFEC" w:themeFill="accent4" w:themeFillTint="33"/>
          </w:tcPr>
          <w:p w:rsidR="002C55E7" w:rsidRPr="00763052" w:rsidRDefault="002C55E7" w:rsidP="00055249">
            <w:pPr>
              <w:contextualSpacing/>
              <w:rPr>
                <w:b/>
                <w:sz w:val="18"/>
                <w:szCs w:val="18"/>
              </w:rPr>
            </w:pPr>
            <w:r w:rsidRPr="00763052">
              <w:rPr>
                <w:b/>
                <w:sz w:val="18"/>
                <w:szCs w:val="18"/>
              </w:rPr>
              <w:t>3</w:t>
            </w:r>
          </w:p>
        </w:tc>
        <w:tc>
          <w:tcPr>
            <w:tcW w:w="192" w:type="pct"/>
            <w:shd w:val="clear" w:color="auto" w:fill="E5DFEC" w:themeFill="accent4" w:themeFillTint="33"/>
          </w:tcPr>
          <w:p w:rsidR="002C55E7" w:rsidRPr="00763052" w:rsidRDefault="002C55E7" w:rsidP="00055249">
            <w:pPr>
              <w:contextualSpacing/>
              <w:rPr>
                <w:b/>
                <w:sz w:val="18"/>
                <w:szCs w:val="18"/>
              </w:rPr>
            </w:pPr>
            <w:r w:rsidRPr="00763052">
              <w:rPr>
                <w:b/>
                <w:sz w:val="18"/>
                <w:szCs w:val="18"/>
              </w:rPr>
              <w:t>4</w:t>
            </w:r>
          </w:p>
        </w:tc>
        <w:tc>
          <w:tcPr>
            <w:tcW w:w="1691" w:type="pct"/>
            <w:vMerge/>
          </w:tcPr>
          <w:p w:rsidR="002C55E7" w:rsidRDefault="002C55E7" w:rsidP="00055249">
            <w:pPr>
              <w:contextualSpacing/>
            </w:pPr>
          </w:p>
        </w:tc>
      </w:tr>
      <w:tr w:rsidR="003B08E6" w:rsidRPr="00E25667" w:rsidTr="00725770">
        <w:tc>
          <w:tcPr>
            <w:tcW w:w="715" w:type="pct"/>
          </w:tcPr>
          <w:p w:rsidR="00E25667" w:rsidRPr="003B08E6" w:rsidRDefault="00F95B7E" w:rsidP="00055249">
            <w:pPr>
              <w:contextualSpacing/>
              <w:rPr>
                <w:b/>
                <w:sz w:val="18"/>
                <w:szCs w:val="18"/>
              </w:rPr>
            </w:pPr>
            <w:r w:rsidRPr="003B08E6">
              <w:rPr>
                <w:b/>
                <w:sz w:val="18"/>
                <w:szCs w:val="18"/>
              </w:rPr>
              <w:t>Analytical work by the European commission on “Assessing Governance in the Transport sector”</w:t>
            </w:r>
          </w:p>
        </w:tc>
        <w:tc>
          <w:tcPr>
            <w:tcW w:w="1648" w:type="pct"/>
          </w:tcPr>
          <w:p w:rsidR="00FB48D7" w:rsidRPr="00FB48D7" w:rsidRDefault="00FB48D7" w:rsidP="00895237">
            <w:pPr>
              <w:contextualSpacing/>
              <w:rPr>
                <w:sz w:val="18"/>
                <w:szCs w:val="18"/>
              </w:rPr>
            </w:pPr>
            <w:r>
              <w:rPr>
                <w:sz w:val="18"/>
                <w:szCs w:val="18"/>
              </w:rPr>
              <w:t xml:space="preserve">The objective  of the assessment is to provide </w:t>
            </w:r>
            <w:r w:rsidRPr="00FB48D7">
              <w:rPr>
                <w:sz w:val="18"/>
                <w:szCs w:val="18"/>
              </w:rPr>
              <w:t>guidance and support to stakeholders of the transport sector in beneficiaries countries to address governance issues when designing and/or implementing a transport</w:t>
            </w:r>
          </w:p>
          <w:p w:rsidR="00E25667" w:rsidRDefault="00FB48D7" w:rsidP="00E963E4">
            <w:pPr>
              <w:spacing w:after="120"/>
              <w:contextualSpacing/>
              <w:rPr>
                <w:sz w:val="18"/>
                <w:szCs w:val="18"/>
              </w:rPr>
            </w:pPr>
            <w:proofErr w:type="gramStart"/>
            <w:r w:rsidRPr="00FB48D7">
              <w:rPr>
                <w:sz w:val="18"/>
                <w:szCs w:val="18"/>
              </w:rPr>
              <w:t>project/program</w:t>
            </w:r>
            <w:proofErr w:type="gramEnd"/>
            <w:r>
              <w:rPr>
                <w:sz w:val="18"/>
                <w:szCs w:val="18"/>
              </w:rPr>
              <w:t xml:space="preserve">. It builds on </w:t>
            </w:r>
            <w:r w:rsidRPr="00FB48D7">
              <w:rPr>
                <w:sz w:val="18"/>
                <w:szCs w:val="18"/>
              </w:rPr>
              <w:t>12 concept paper</w:t>
            </w:r>
            <w:r w:rsidR="00895237">
              <w:rPr>
                <w:sz w:val="18"/>
                <w:szCs w:val="18"/>
              </w:rPr>
              <w:t>s</w:t>
            </w:r>
            <w:r w:rsidRPr="00FB48D7">
              <w:rPr>
                <w:sz w:val="18"/>
                <w:szCs w:val="18"/>
              </w:rPr>
              <w:t xml:space="preserve"> and 5 working papers providing a comprehensive overview of governance in the transport sector in Africa.</w:t>
            </w:r>
          </w:p>
          <w:p w:rsidR="00E963E4" w:rsidRPr="003B08E6" w:rsidRDefault="00E963E4" w:rsidP="00E963E4">
            <w:pPr>
              <w:spacing w:after="120"/>
              <w:contextualSpacing/>
              <w:rPr>
                <w:sz w:val="18"/>
                <w:szCs w:val="18"/>
              </w:rPr>
            </w:pPr>
          </w:p>
        </w:tc>
        <w:tc>
          <w:tcPr>
            <w:tcW w:w="206" w:type="pct"/>
          </w:tcPr>
          <w:p w:rsidR="00E25667" w:rsidRPr="00E25667" w:rsidRDefault="00E25667" w:rsidP="00055249">
            <w:pPr>
              <w:contextualSpacing/>
            </w:pPr>
          </w:p>
        </w:tc>
        <w:tc>
          <w:tcPr>
            <w:tcW w:w="205" w:type="pct"/>
          </w:tcPr>
          <w:p w:rsidR="00E25667" w:rsidRPr="00E25667" w:rsidRDefault="00E25667" w:rsidP="00055249">
            <w:pPr>
              <w:contextualSpacing/>
            </w:pPr>
          </w:p>
        </w:tc>
        <w:tc>
          <w:tcPr>
            <w:tcW w:w="171" w:type="pct"/>
          </w:tcPr>
          <w:p w:rsidR="00E25667" w:rsidRPr="00E25667" w:rsidRDefault="00E25667" w:rsidP="00055249">
            <w:pPr>
              <w:contextualSpacing/>
            </w:pPr>
          </w:p>
        </w:tc>
        <w:tc>
          <w:tcPr>
            <w:tcW w:w="171" w:type="pct"/>
          </w:tcPr>
          <w:p w:rsidR="00E25667" w:rsidRPr="00E25667" w:rsidRDefault="00E25667" w:rsidP="00055249">
            <w:pPr>
              <w:contextualSpacing/>
            </w:pPr>
          </w:p>
        </w:tc>
        <w:tc>
          <w:tcPr>
            <w:tcW w:w="192" w:type="pct"/>
          </w:tcPr>
          <w:p w:rsidR="00E25667" w:rsidRPr="00E25667" w:rsidRDefault="00E25667" w:rsidP="00055249">
            <w:pPr>
              <w:contextualSpacing/>
            </w:pPr>
          </w:p>
        </w:tc>
        <w:tc>
          <w:tcPr>
            <w:tcW w:w="1691" w:type="pct"/>
          </w:tcPr>
          <w:p w:rsidR="00E25667" w:rsidRPr="00E25667" w:rsidRDefault="00E25667" w:rsidP="00055249">
            <w:pPr>
              <w:contextualSpacing/>
            </w:pPr>
          </w:p>
        </w:tc>
      </w:tr>
      <w:tr w:rsidR="003B08E6" w:rsidRPr="00E25667" w:rsidTr="00725770">
        <w:tc>
          <w:tcPr>
            <w:tcW w:w="715" w:type="pct"/>
          </w:tcPr>
          <w:p w:rsidR="00E25667" w:rsidRPr="003B08E6" w:rsidRDefault="00F95B7E" w:rsidP="00055249">
            <w:pPr>
              <w:contextualSpacing/>
              <w:rPr>
                <w:sz w:val="18"/>
                <w:szCs w:val="18"/>
              </w:rPr>
            </w:pPr>
            <w:r w:rsidRPr="003B08E6">
              <w:rPr>
                <w:sz w:val="18"/>
                <w:szCs w:val="18"/>
              </w:rPr>
              <w:t xml:space="preserve">SSATP study on </w:t>
            </w:r>
            <w:r w:rsidRPr="003B08E6">
              <w:rPr>
                <w:b/>
                <w:i/>
                <w:sz w:val="18"/>
                <w:szCs w:val="18"/>
              </w:rPr>
              <w:t>Transport Governance Indicators for Sub-Saharan Africa</w:t>
            </w:r>
          </w:p>
        </w:tc>
        <w:tc>
          <w:tcPr>
            <w:tcW w:w="1648" w:type="pct"/>
          </w:tcPr>
          <w:p w:rsidR="00E25667" w:rsidRDefault="00F95B7E" w:rsidP="00055249">
            <w:pPr>
              <w:contextualSpacing/>
              <w:rPr>
                <w:sz w:val="18"/>
                <w:szCs w:val="18"/>
              </w:rPr>
            </w:pPr>
            <w:r w:rsidRPr="003B08E6">
              <w:rPr>
                <w:sz w:val="18"/>
                <w:szCs w:val="18"/>
              </w:rPr>
              <w:t>SSATP has recently launched a new study to identify a set of easily collectible performance indicators to measure transport governance at the national level in an efficient and systematic manner. The purpose of the study is not only to track progress in the area of transport governance in Africa but also to foster policy change and encourage countries to integrate those indicators in their respective governance evaluation frameworks.</w:t>
            </w:r>
          </w:p>
          <w:p w:rsidR="00E963E4" w:rsidRPr="003B08E6" w:rsidRDefault="00E963E4" w:rsidP="00055249">
            <w:pPr>
              <w:contextualSpacing/>
              <w:rPr>
                <w:sz w:val="18"/>
                <w:szCs w:val="18"/>
              </w:rPr>
            </w:pPr>
          </w:p>
        </w:tc>
        <w:tc>
          <w:tcPr>
            <w:tcW w:w="206" w:type="pct"/>
          </w:tcPr>
          <w:p w:rsidR="00E25667" w:rsidRPr="00E25667" w:rsidRDefault="00E25667" w:rsidP="00055249">
            <w:pPr>
              <w:contextualSpacing/>
            </w:pPr>
          </w:p>
        </w:tc>
        <w:tc>
          <w:tcPr>
            <w:tcW w:w="205" w:type="pct"/>
          </w:tcPr>
          <w:p w:rsidR="00E25667" w:rsidRPr="00E25667" w:rsidRDefault="00E25667" w:rsidP="00055249">
            <w:pPr>
              <w:contextualSpacing/>
            </w:pPr>
          </w:p>
        </w:tc>
        <w:tc>
          <w:tcPr>
            <w:tcW w:w="171" w:type="pct"/>
          </w:tcPr>
          <w:p w:rsidR="00E25667" w:rsidRPr="00E25667" w:rsidRDefault="00E25667" w:rsidP="00055249">
            <w:pPr>
              <w:contextualSpacing/>
            </w:pPr>
          </w:p>
        </w:tc>
        <w:tc>
          <w:tcPr>
            <w:tcW w:w="171" w:type="pct"/>
          </w:tcPr>
          <w:p w:rsidR="00E25667" w:rsidRPr="00E25667" w:rsidRDefault="00E25667" w:rsidP="00055249">
            <w:pPr>
              <w:contextualSpacing/>
            </w:pPr>
          </w:p>
        </w:tc>
        <w:tc>
          <w:tcPr>
            <w:tcW w:w="192" w:type="pct"/>
          </w:tcPr>
          <w:p w:rsidR="00E25667" w:rsidRPr="00E25667" w:rsidRDefault="00E25667" w:rsidP="00055249">
            <w:pPr>
              <w:contextualSpacing/>
            </w:pPr>
          </w:p>
        </w:tc>
        <w:tc>
          <w:tcPr>
            <w:tcW w:w="1691" w:type="pct"/>
          </w:tcPr>
          <w:p w:rsidR="00E25667" w:rsidRPr="00E25667" w:rsidRDefault="00E25667" w:rsidP="00055249">
            <w:pPr>
              <w:contextualSpacing/>
            </w:pPr>
          </w:p>
        </w:tc>
      </w:tr>
    </w:tbl>
    <w:p w:rsidR="004B63D2" w:rsidRDefault="004B63D2" w:rsidP="00895237">
      <w:pPr>
        <w:spacing w:line="240" w:lineRule="auto"/>
        <w:ind w:left="720" w:hanging="720"/>
        <w:rPr>
          <w:b/>
          <w:i/>
          <w:sz w:val="24"/>
          <w:szCs w:val="24"/>
        </w:rPr>
        <w:sectPr w:rsidR="004B63D2" w:rsidSect="00087517">
          <w:pgSz w:w="15840" w:h="12240" w:orient="landscape"/>
          <w:pgMar w:top="1440" w:right="1440" w:bottom="1440" w:left="1440" w:header="720" w:footer="720" w:gutter="0"/>
          <w:cols w:space="720"/>
          <w:docGrid w:linePitch="360"/>
        </w:sectPr>
      </w:pPr>
    </w:p>
    <w:p w:rsidR="00AA678D" w:rsidRPr="00C12908" w:rsidRDefault="00B957FB" w:rsidP="00895237">
      <w:pPr>
        <w:spacing w:line="240" w:lineRule="auto"/>
        <w:ind w:left="720" w:hanging="720"/>
        <w:rPr>
          <w:b/>
          <w:i/>
          <w:sz w:val="24"/>
          <w:szCs w:val="24"/>
        </w:rPr>
      </w:pPr>
      <w:r w:rsidRPr="00C12908">
        <w:rPr>
          <w:b/>
          <w:i/>
          <w:sz w:val="24"/>
          <w:szCs w:val="24"/>
        </w:rPr>
        <w:lastRenderedPageBreak/>
        <w:t>Implementation</w:t>
      </w:r>
    </w:p>
    <w:tbl>
      <w:tblPr>
        <w:tblStyle w:val="TableGrid"/>
        <w:tblW w:w="5000" w:type="pct"/>
        <w:tblLayout w:type="fixed"/>
        <w:tblLook w:val="04A0" w:firstRow="1" w:lastRow="0" w:firstColumn="1" w:lastColumn="0" w:noHBand="0" w:noVBand="1"/>
      </w:tblPr>
      <w:tblGrid>
        <w:gridCol w:w="1908"/>
        <w:gridCol w:w="4319"/>
        <w:gridCol w:w="540"/>
        <w:gridCol w:w="540"/>
        <w:gridCol w:w="451"/>
        <w:gridCol w:w="451"/>
        <w:gridCol w:w="540"/>
        <w:gridCol w:w="4427"/>
      </w:tblGrid>
      <w:tr w:rsidR="00CA39C2" w:rsidRPr="00E25667" w:rsidTr="00C12908">
        <w:tc>
          <w:tcPr>
            <w:tcW w:w="724"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Title of the session</w:t>
            </w:r>
          </w:p>
        </w:tc>
        <w:tc>
          <w:tcPr>
            <w:tcW w:w="1639"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Description</w:t>
            </w:r>
          </w:p>
        </w:tc>
        <w:tc>
          <w:tcPr>
            <w:tcW w:w="957" w:type="pct"/>
            <w:gridSpan w:val="5"/>
            <w:shd w:val="clear" w:color="auto" w:fill="E5DFEC" w:themeFill="accent4" w:themeFillTint="33"/>
            <w:vAlign w:val="center"/>
          </w:tcPr>
          <w:p w:rsidR="002C55E7" w:rsidRPr="00763052" w:rsidRDefault="00CA39C2" w:rsidP="00763052">
            <w:pPr>
              <w:contextualSpacing/>
              <w:jc w:val="center"/>
              <w:rPr>
                <w:b/>
                <w:i/>
                <w:sz w:val="18"/>
                <w:szCs w:val="18"/>
              </w:rPr>
            </w:pPr>
            <w:r w:rsidRPr="00763052">
              <w:rPr>
                <w:b/>
                <w:i/>
                <w:sz w:val="18"/>
                <w:szCs w:val="18"/>
              </w:rPr>
              <w:t xml:space="preserve">How would you rank the session? </w:t>
            </w:r>
            <w:r w:rsidR="003B08E6" w:rsidRPr="00763052">
              <w:rPr>
                <w:b/>
                <w:i/>
                <w:sz w:val="18"/>
                <w:szCs w:val="18"/>
              </w:rPr>
              <w:t>(Importance/</w:t>
            </w:r>
            <w:r w:rsidRPr="00763052">
              <w:rPr>
                <w:b/>
                <w:i/>
                <w:sz w:val="18"/>
                <w:szCs w:val="18"/>
              </w:rPr>
              <w:t xml:space="preserve"> </w:t>
            </w:r>
            <w:r w:rsidR="003B08E6" w:rsidRPr="00763052">
              <w:rPr>
                <w:b/>
                <w:i/>
                <w:sz w:val="18"/>
                <w:szCs w:val="18"/>
              </w:rPr>
              <w:t>Relevance of the topic)</w:t>
            </w:r>
          </w:p>
        </w:tc>
        <w:tc>
          <w:tcPr>
            <w:tcW w:w="1680"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Additional comments</w:t>
            </w:r>
          </w:p>
        </w:tc>
      </w:tr>
      <w:tr w:rsidR="00DB7FA5" w:rsidRPr="00E25667" w:rsidTr="00C12908">
        <w:tc>
          <w:tcPr>
            <w:tcW w:w="724" w:type="pct"/>
            <w:vMerge/>
          </w:tcPr>
          <w:p w:rsidR="002C55E7" w:rsidRPr="003B08E6" w:rsidRDefault="002C55E7" w:rsidP="00F04404">
            <w:pPr>
              <w:contextualSpacing/>
              <w:rPr>
                <w:b/>
                <w:sz w:val="18"/>
                <w:szCs w:val="18"/>
              </w:rPr>
            </w:pPr>
          </w:p>
        </w:tc>
        <w:tc>
          <w:tcPr>
            <w:tcW w:w="1639" w:type="pct"/>
            <w:vMerge/>
          </w:tcPr>
          <w:p w:rsidR="002C55E7" w:rsidRPr="003B08E6" w:rsidRDefault="002C55E7" w:rsidP="00F04404">
            <w:pPr>
              <w:contextualSpacing/>
              <w:rPr>
                <w:b/>
                <w:sz w:val="18"/>
                <w:szCs w:val="18"/>
              </w:rPr>
            </w:pPr>
          </w:p>
        </w:tc>
        <w:tc>
          <w:tcPr>
            <w:tcW w:w="205" w:type="pct"/>
            <w:shd w:val="clear" w:color="auto" w:fill="E5DFEC" w:themeFill="accent4" w:themeFillTint="33"/>
          </w:tcPr>
          <w:p w:rsidR="002C55E7" w:rsidRPr="003B08E6" w:rsidRDefault="002C55E7" w:rsidP="00F04404">
            <w:pPr>
              <w:contextualSpacing/>
              <w:rPr>
                <w:b/>
                <w:sz w:val="18"/>
                <w:szCs w:val="18"/>
              </w:rPr>
            </w:pPr>
            <w:r w:rsidRPr="003B08E6">
              <w:rPr>
                <w:b/>
                <w:sz w:val="18"/>
                <w:szCs w:val="18"/>
              </w:rPr>
              <w:t>0</w:t>
            </w:r>
          </w:p>
        </w:tc>
        <w:tc>
          <w:tcPr>
            <w:tcW w:w="205" w:type="pct"/>
            <w:shd w:val="clear" w:color="auto" w:fill="E5DFEC" w:themeFill="accent4" w:themeFillTint="33"/>
          </w:tcPr>
          <w:p w:rsidR="002C55E7" w:rsidRPr="003B08E6" w:rsidRDefault="002C55E7" w:rsidP="00F04404">
            <w:pPr>
              <w:contextualSpacing/>
              <w:rPr>
                <w:b/>
                <w:sz w:val="18"/>
                <w:szCs w:val="18"/>
              </w:rPr>
            </w:pPr>
            <w:r w:rsidRPr="003B08E6">
              <w:rPr>
                <w:b/>
                <w:sz w:val="18"/>
                <w:szCs w:val="18"/>
              </w:rPr>
              <w:t>1</w:t>
            </w:r>
          </w:p>
        </w:tc>
        <w:tc>
          <w:tcPr>
            <w:tcW w:w="171" w:type="pct"/>
            <w:shd w:val="clear" w:color="auto" w:fill="E5DFEC" w:themeFill="accent4" w:themeFillTint="33"/>
          </w:tcPr>
          <w:p w:rsidR="002C55E7" w:rsidRPr="003B08E6" w:rsidRDefault="002C55E7" w:rsidP="00F04404">
            <w:pPr>
              <w:contextualSpacing/>
              <w:rPr>
                <w:b/>
                <w:sz w:val="18"/>
                <w:szCs w:val="18"/>
              </w:rPr>
            </w:pPr>
            <w:r w:rsidRPr="003B08E6">
              <w:rPr>
                <w:b/>
                <w:sz w:val="18"/>
                <w:szCs w:val="18"/>
              </w:rPr>
              <w:t>2</w:t>
            </w:r>
          </w:p>
        </w:tc>
        <w:tc>
          <w:tcPr>
            <w:tcW w:w="171" w:type="pct"/>
            <w:shd w:val="clear" w:color="auto" w:fill="E5DFEC" w:themeFill="accent4" w:themeFillTint="33"/>
          </w:tcPr>
          <w:p w:rsidR="002C55E7" w:rsidRPr="003B08E6" w:rsidRDefault="002C55E7" w:rsidP="00F04404">
            <w:pPr>
              <w:contextualSpacing/>
              <w:rPr>
                <w:b/>
                <w:sz w:val="18"/>
                <w:szCs w:val="18"/>
              </w:rPr>
            </w:pPr>
            <w:r w:rsidRPr="003B08E6">
              <w:rPr>
                <w:b/>
                <w:sz w:val="18"/>
                <w:szCs w:val="18"/>
              </w:rPr>
              <w:t>3</w:t>
            </w:r>
          </w:p>
        </w:tc>
        <w:tc>
          <w:tcPr>
            <w:tcW w:w="205" w:type="pct"/>
            <w:shd w:val="clear" w:color="auto" w:fill="E5DFEC" w:themeFill="accent4" w:themeFillTint="33"/>
          </w:tcPr>
          <w:p w:rsidR="002C55E7" w:rsidRPr="003B08E6" w:rsidRDefault="002C55E7" w:rsidP="00F04404">
            <w:pPr>
              <w:contextualSpacing/>
              <w:rPr>
                <w:b/>
                <w:sz w:val="18"/>
                <w:szCs w:val="18"/>
              </w:rPr>
            </w:pPr>
            <w:r w:rsidRPr="003B08E6">
              <w:rPr>
                <w:b/>
                <w:sz w:val="18"/>
                <w:szCs w:val="18"/>
              </w:rPr>
              <w:t>4</w:t>
            </w:r>
          </w:p>
        </w:tc>
        <w:tc>
          <w:tcPr>
            <w:tcW w:w="1680" w:type="pct"/>
            <w:vMerge/>
            <w:shd w:val="clear" w:color="auto" w:fill="EEECE1" w:themeFill="background2"/>
          </w:tcPr>
          <w:p w:rsidR="002C55E7" w:rsidRPr="003B08E6" w:rsidRDefault="002C55E7" w:rsidP="00F04404">
            <w:pPr>
              <w:contextualSpacing/>
              <w:rPr>
                <w:sz w:val="18"/>
                <w:szCs w:val="18"/>
              </w:rPr>
            </w:pPr>
          </w:p>
        </w:tc>
      </w:tr>
      <w:tr w:rsidR="00725770" w:rsidRPr="00E25667" w:rsidTr="00725770">
        <w:tc>
          <w:tcPr>
            <w:tcW w:w="724" w:type="pct"/>
          </w:tcPr>
          <w:p w:rsidR="00F95B7E" w:rsidRPr="003B08E6" w:rsidRDefault="00F95B7E" w:rsidP="00F04404">
            <w:pPr>
              <w:contextualSpacing/>
              <w:rPr>
                <w:sz w:val="18"/>
                <w:szCs w:val="18"/>
              </w:rPr>
            </w:pPr>
            <w:r w:rsidRPr="003B08E6">
              <w:rPr>
                <w:b/>
                <w:sz w:val="18"/>
                <w:szCs w:val="18"/>
              </w:rPr>
              <w:t xml:space="preserve">Leveraging the potential of </w:t>
            </w:r>
            <w:proofErr w:type="spellStart"/>
            <w:r w:rsidRPr="003B08E6">
              <w:rPr>
                <w:b/>
                <w:sz w:val="18"/>
                <w:szCs w:val="18"/>
              </w:rPr>
              <w:t>eProcurement</w:t>
            </w:r>
            <w:proofErr w:type="spellEnd"/>
          </w:p>
        </w:tc>
        <w:tc>
          <w:tcPr>
            <w:tcW w:w="1639" w:type="pct"/>
          </w:tcPr>
          <w:p w:rsidR="00F95B7E" w:rsidRPr="003B08E6" w:rsidRDefault="00F95B7E" w:rsidP="00F95B7E">
            <w:pPr>
              <w:rPr>
                <w:sz w:val="18"/>
                <w:szCs w:val="18"/>
              </w:rPr>
            </w:pPr>
            <w:r w:rsidRPr="003B08E6">
              <w:rPr>
                <w:sz w:val="18"/>
                <w:szCs w:val="18"/>
              </w:rPr>
              <w:t xml:space="preserve">The session would include a presentation of the </w:t>
            </w:r>
            <w:proofErr w:type="spellStart"/>
            <w:r w:rsidRPr="003B08E6">
              <w:rPr>
                <w:sz w:val="18"/>
                <w:szCs w:val="18"/>
              </w:rPr>
              <w:t>eProcurement</w:t>
            </w:r>
            <w:proofErr w:type="spellEnd"/>
            <w:r w:rsidRPr="003B08E6">
              <w:rPr>
                <w:sz w:val="18"/>
                <w:szCs w:val="18"/>
              </w:rPr>
              <w:t xml:space="preserve"> Reference Guide, some examples of World Bank transport projects that resorted to </w:t>
            </w:r>
            <w:proofErr w:type="spellStart"/>
            <w:r w:rsidRPr="003B08E6">
              <w:rPr>
                <w:sz w:val="18"/>
                <w:szCs w:val="18"/>
              </w:rPr>
              <w:t>eProcurement</w:t>
            </w:r>
            <w:proofErr w:type="spellEnd"/>
            <w:r w:rsidRPr="003B08E6">
              <w:rPr>
                <w:sz w:val="18"/>
                <w:szCs w:val="18"/>
              </w:rPr>
              <w:t xml:space="preserve">, and would offer a perspective on how </w:t>
            </w:r>
            <w:proofErr w:type="spellStart"/>
            <w:r w:rsidRPr="003B08E6">
              <w:rPr>
                <w:sz w:val="18"/>
                <w:szCs w:val="18"/>
              </w:rPr>
              <w:t>eProcurement</w:t>
            </w:r>
            <w:proofErr w:type="spellEnd"/>
            <w:r w:rsidRPr="003B08E6">
              <w:rPr>
                <w:sz w:val="18"/>
                <w:szCs w:val="18"/>
              </w:rPr>
              <w:t xml:space="preserve"> can contribute to transparency and efficiency of Transport projects in Africa.</w:t>
            </w:r>
          </w:p>
          <w:p w:rsidR="00F95B7E" w:rsidRDefault="00F95B7E" w:rsidP="00E82771">
            <w:pPr>
              <w:rPr>
                <w:sz w:val="18"/>
                <w:szCs w:val="18"/>
              </w:rPr>
            </w:pPr>
            <w:proofErr w:type="gramStart"/>
            <w:r w:rsidRPr="003B08E6">
              <w:rPr>
                <w:sz w:val="18"/>
                <w:szCs w:val="18"/>
              </w:rPr>
              <w:t>e-Procurement</w:t>
            </w:r>
            <w:proofErr w:type="gramEnd"/>
            <w:r w:rsidRPr="003B08E6">
              <w:rPr>
                <w:sz w:val="18"/>
                <w:szCs w:val="18"/>
              </w:rPr>
              <w:t xml:space="preserve"> (e-GP), which is procurement of goods, works and services through internet-based information technologies is emerging worldwide with the potential to drive procurement reform, increase competition and promote integrity in public procurement. When properly designed, it can drastically reduce costs, facilitate information accessibility and reduce opportunities for corruption.</w:t>
            </w:r>
          </w:p>
          <w:p w:rsidR="00895237" w:rsidRPr="003B08E6" w:rsidRDefault="00895237" w:rsidP="00E82771">
            <w:pPr>
              <w:rPr>
                <w:sz w:val="18"/>
                <w:szCs w:val="18"/>
              </w:rPr>
            </w:pPr>
          </w:p>
        </w:tc>
        <w:tc>
          <w:tcPr>
            <w:tcW w:w="205" w:type="pct"/>
          </w:tcPr>
          <w:p w:rsidR="00F95B7E" w:rsidRPr="003B08E6" w:rsidRDefault="00F95B7E" w:rsidP="00F04404">
            <w:pPr>
              <w:contextualSpacing/>
              <w:rPr>
                <w:sz w:val="18"/>
                <w:szCs w:val="18"/>
              </w:rPr>
            </w:pPr>
          </w:p>
        </w:tc>
        <w:tc>
          <w:tcPr>
            <w:tcW w:w="205" w:type="pct"/>
          </w:tcPr>
          <w:p w:rsidR="00F95B7E" w:rsidRPr="003B08E6" w:rsidRDefault="00F95B7E" w:rsidP="00F04404">
            <w:pPr>
              <w:contextualSpacing/>
              <w:rPr>
                <w:sz w:val="18"/>
                <w:szCs w:val="18"/>
              </w:rPr>
            </w:pPr>
          </w:p>
        </w:tc>
        <w:tc>
          <w:tcPr>
            <w:tcW w:w="171" w:type="pct"/>
          </w:tcPr>
          <w:p w:rsidR="00F95B7E" w:rsidRPr="003B08E6" w:rsidRDefault="00F95B7E" w:rsidP="00F04404">
            <w:pPr>
              <w:contextualSpacing/>
              <w:rPr>
                <w:sz w:val="18"/>
                <w:szCs w:val="18"/>
              </w:rPr>
            </w:pPr>
          </w:p>
        </w:tc>
        <w:tc>
          <w:tcPr>
            <w:tcW w:w="171" w:type="pct"/>
          </w:tcPr>
          <w:p w:rsidR="00F95B7E" w:rsidRPr="003B08E6" w:rsidRDefault="00F95B7E" w:rsidP="00F04404">
            <w:pPr>
              <w:contextualSpacing/>
              <w:rPr>
                <w:sz w:val="18"/>
                <w:szCs w:val="18"/>
              </w:rPr>
            </w:pPr>
          </w:p>
        </w:tc>
        <w:tc>
          <w:tcPr>
            <w:tcW w:w="205" w:type="pct"/>
          </w:tcPr>
          <w:p w:rsidR="00F95B7E" w:rsidRPr="003B08E6" w:rsidRDefault="00F95B7E" w:rsidP="00F04404">
            <w:pPr>
              <w:contextualSpacing/>
              <w:rPr>
                <w:sz w:val="18"/>
                <w:szCs w:val="18"/>
              </w:rPr>
            </w:pPr>
          </w:p>
        </w:tc>
        <w:tc>
          <w:tcPr>
            <w:tcW w:w="1680" w:type="pct"/>
          </w:tcPr>
          <w:p w:rsidR="00F95B7E" w:rsidRPr="003B08E6" w:rsidRDefault="00F95B7E" w:rsidP="00F04404">
            <w:pPr>
              <w:contextualSpacing/>
              <w:rPr>
                <w:sz w:val="18"/>
                <w:szCs w:val="18"/>
              </w:rPr>
            </w:pPr>
          </w:p>
        </w:tc>
      </w:tr>
      <w:tr w:rsidR="002C5391" w:rsidRPr="00E25667" w:rsidTr="00DB7FA5">
        <w:trPr>
          <w:trHeight w:val="890"/>
        </w:trPr>
        <w:tc>
          <w:tcPr>
            <w:tcW w:w="724" w:type="pct"/>
            <w:vMerge w:val="restart"/>
          </w:tcPr>
          <w:p w:rsidR="002C5391" w:rsidRPr="003B08E6" w:rsidRDefault="002C5391" w:rsidP="00E82771">
            <w:pPr>
              <w:contextualSpacing/>
              <w:rPr>
                <w:sz w:val="18"/>
                <w:szCs w:val="18"/>
              </w:rPr>
            </w:pPr>
            <w:r w:rsidRPr="003B08E6">
              <w:rPr>
                <w:b/>
                <w:sz w:val="18"/>
                <w:szCs w:val="18"/>
              </w:rPr>
              <w:t xml:space="preserve">Improving transparency and accountability for more cost-effective transport projects </w:t>
            </w:r>
          </w:p>
        </w:tc>
        <w:tc>
          <w:tcPr>
            <w:tcW w:w="4276" w:type="pct"/>
            <w:gridSpan w:val="7"/>
          </w:tcPr>
          <w:p w:rsidR="002C5391" w:rsidRPr="00C12908" w:rsidRDefault="002C5391" w:rsidP="00E82771">
            <w:pPr>
              <w:ind w:left="-18"/>
              <w:contextualSpacing/>
              <w:rPr>
                <w:sz w:val="18"/>
                <w:szCs w:val="18"/>
              </w:rPr>
            </w:pPr>
            <w:r w:rsidRPr="00C12908">
              <w:rPr>
                <w:sz w:val="18"/>
                <w:szCs w:val="18"/>
              </w:rPr>
              <w:t>This session would look into innovative ways to control corruption and enhance accountability in order to limit cost overruns and make transport projects more transparent. Two examples may be considered:</w:t>
            </w:r>
          </w:p>
        </w:tc>
      </w:tr>
      <w:tr w:rsidR="002C5391" w:rsidRPr="00E25667" w:rsidTr="00C12908">
        <w:trPr>
          <w:cantSplit/>
          <w:trHeight w:val="2645"/>
        </w:trPr>
        <w:tc>
          <w:tcPr>
            <w:tcW w:w="724" w:type="pct"/>
            <w:vMerge/>
          </w:tcPr>
          <w:p w:rsidR="002C5391" w:rsidRPr="003B08E6" w:rsidRDefault="002C5391" w:rsidP="00F04404">
            <w:pPr>
              <w:contextualSpacing/>
              <w:rPr>
                <w:sz w:val="18"/>
                <w:szCs w:val="18"/>
              </w:rPr>
            </w:pPr>
          </w:p>
        </w:tc>
        <w:tc>
          <w:tcPr>
            <w:tcW w:w="1639" w:type="pct"/>
          </w:tcPr>
          <w:p w:rsidR="002C5391" w:rsidRDefault="002C5391" w:rsidP="00E82771">
            <w:pPr>
              <w:rPr>
                <w:sz w:val="18"/>
                <w:szCs w:val="18"/>
              </w:rPr>
            </w:pPr>
            <w:r w:rsidRPr="003B08E6">
              <w:rPr>
                <w:b/>
                <w:sz w:val="18"/>
                <w:szCs w:val="18"/>
              </w:rPr>
              <w:t>Zambia CoST Baseline Study Report</w:t>
            </w:r>
            <w:r w:rsidRPr="003B08E6">
              <w:rPr>
                <w:sz w:val="18"/>
                <w:szCs w:val="18"/>
              </w:rPr>
              <w:t>: The Construction Sector Transparency (CoST) initiative aims to enhance the transparency and accountability of procuring entities and construction companies involved in public sector construction projects. CoST has developed a set of core baseline indicators relating to bidding statistics, public availability of material project information, project duration and cost to evaluate the degree of transparency in construction projects in different country and allow cross-country comparisons. The baseline report for the Zambian CoST initiative could be used as an example.</w:t>
            </w:r>
          </w:p>
          <w:p w:rsidR="002C5391" w:rsidRPr="003B08E6" w:rsidRDefault="002C5391" w:rsidP="00E82771">
            <w:pPr>
              <w:rPr>
                <w:sz w:val="18"/>
                <w:szCs w:val="18"/>
              </w:rPr>
            </w:pPr>
          </w:p>
        </w:tc>
        <w:tc>
          <w:tcPr>
            <w:tcW w:w="205" w:type="pct"/>
          </w:tcPr>
          <w:p w:rsidR="002C5391" w:rsidRPr="003B08E6" w:rsidRDefault="002C5391" w:rsidP="00F04404">
            <w:pPr>
              <w:contextualSpacing/>
              <w:rPr>
                <w:sz w:val="18"/>
                <w:szCs w:val="18"/>
              </w:rPr>
            </w:pPr>
          </w:p>
        </w:tc>
        <w:tc>
          <w:tcPr>
            <w:tcW w:w="205" w:type="pct"/>
          </w:tcPr>
          <w:p w:rsidR="002C5391" w:rsidRPr="003B08E6" w:rsidRDefault="002C5391" w:rsidP="00F04404">
            <w:pPr>
              <w:contextualSpacing/>
              <w:rPr>
                <w:sz w:val="18"/>
                <w:szCs w:val="18"/>
              </w:rPr>
            </w:pPr>
          </w:p>
        </w:tc>
        <w:tc>
          <w:tcPr>
            <w:tcW w:w="171" w:type="pct"/>
          </w:tcPr>
          <w:p w:rsidR="002C5391" w:rsidRPr="003B08E6" w:rsidRDefault="002C5391" w:rsidP="00F04404">
            <w:pPr>
              <w:contextualSpacing/>
              <w:rPr>
                <w:sz w:val="18"/>
                <w:szCs w:val="18"/>
              </w:rPr>
            </w:pPr>
          </w:p>
        </w:tc>
        <w:tc>
          <w:tcPr>
            <w:tcW w:w="171" w:type="pct"/>
          </w:tcPr>
          <w:p w:rsidR="002C5391" w:rsidRPr="003B08E6" w:rsidRDefault="002C5391" w:rsidP="00F04404">
            <w:pPr>
              <w:contextualSpacing/>
              <w:rPr>
                <w:sz w:val="18"/>
                <w:szCs w:val="18"/>
              </w:rPr>
            </w:pPr>
          </w:p>
        </w:tc>
        <w:tc>
          <w:tcPr>
            <w:tcW w:w="205" w:type="pct"/>
          </w:tcPr>
          <w:p w:rsidR="002C5391" w:rsidRPr="003B08E6" w:rsidRDefault="002C5391" w:rsidP="00F04404">
            <w:pPr>
              <w:contextualSpacing/>
              <w:rPr>
                <w:sz w:val="18"/>
                <w:szCs w:val="18"/>
              </w:rPr>
            </w:pPr>
          </w:p>
        </w:tc>
        <w:tc>
          <w:tcPr>
            <w:tcW w:w="1680" w:type="pct"/>
          </w:tcPr>
          <w:p w:rsidR="002C5391" w:rsidRPr="003B08E6" w:rsidRDefault="002C5391" w:rsidP="00F04404">
            <w:pPr>
              <w:contextualSpacing/>
              <w:rPr>
                <w:sz w:val="18"/>
                <w:szCs w:val="18"/>
              </w:rPr>
            </w:pPr>
          </w:p>
        </w:tc>
      </w:tr>
      <w:tr w:rsidR="00E82771" w:rsidRPr="00E25667" w:rsidTr="00725770">
        <w:trPr>
          <w:cantSplit/>
        </w:trPr>
        <w:tc>
          <w:tcPr>
            <w:tcW w:w="724" w:type="pct"/>
          </w:tcPr>
          <w:p w:rsidR="00F95B7E" w:rsidRPr="003B08E6" w:rsidRDefault="00F95B7E" w:rsidP="00F04404">
            <w:pPr>
              <w:contextualSpacing/>
              <w:rPr>
                <w:sz w:val="18"/>
                <w:szCs w:val="18"/>
              </w:rPr>
            </w:pPr>
          </w:p>
        </w:tc>
        <w:tc>
          <w:tcPr>
            <w:tcW w:w="1639" w:type="pct"/>
          </w:tcPr>
          <w:p w:rsidR="002C55E7" w:rsidRPr="003B08E6" w:rsidRDefault="002C55E7" w:rsidP="002318C6">
            <w:pPr>
              <w:rPr>
                <w:b/>
                <w:sz w:val="18"/>
                <w:szCs w:val="18"/>
              </w:rPr>
            </w:pPr>
            <w:r w:rsidRPr="003B08E6">
              <w:rPr>
                <w:b/>
                <w:sz w:val="18"/>
                <w:szCs w:val="18"/>
              </w:rPr>
              <w:t xml:space="preserve">The new </w:t>
            </w:r>
            <w:r w:rsidRPr="003B08E6">
              <w:rPr>
                <w:b/>
                <w:bCs/>
                <w:sz w:val="18"/>
                <w:szCs w:val="18"/>
              </w:rPr>
              <w:t xml:space="preserve">dataset on road works contracts of Bank-financed projects in Sub-Saharan Africa: </w:t>
            </w:r>
            <w:r w:rsidRPr="003B08E6">
              <w:rPr>
                <w:sz w:val="18"/>
                <w:szCs w:val="18"/>
              </w:rPr>
              <w:t>This new database is intended to establish a framework for cross-country comparisons of the procurement processes and implementation of road works contracts in Bank-funded projects, develop a set of alert indicators or red flags based on quantifiable criteria to recognize and track vulnerabilities to corruption in the roads</w:t>
            </w:r>
            <w:r w:rsidRPr="003B08E6">
              <w:rPr>
                <w:rFonts w:ascii="Verdana" w:hAnsi="Verdana" w:cs="Verdana"/>
                <w:sz w:val="18"/>
                <w:szCs w:val="18"/>
              </w:rPr>
              <w:t xml:space="preserve"> </w:t>
            </w:r>
            <w:r w:rsidRPr="003B08E6">
              <w:rPr>
                <w:sz w:val="18"/>
                <w:szCs w:val="18"/>
              </w:rPr>
              <w:t>sector, and facilitate measurement of the performance of road works contracting in projects financed by the Bank</w:t>
            </w:r>
            <w:r w:rsidRPr="003B08E6">
              <w:rPr>
                <w:rFonts w:ascii="Verdana" w:hAnsi="Verdana" w:cs="Verdana"/>
                <w:sz w:val="18"/>
                <w:szCs w:val="18"/>
              </w:rPr>
              <w:t>.</w:t>
            </w:r>
          </w:p>
          <w:p w:rsidR="00F95B7E" w:rsidRPr="003B08E6" w:rsidRDefault="00F95B7E" w:rsidP="00F04404">
            <w:pPr>
              <w:contextualSpacing/>
              <w:rPr>
                <w:sz w:val="18"/>
                <w:szCs w:val="18"/>
              </w:rPr>
            </w:pPr>
          </w:p>
        </w:tc>
        <w:tc>
          <w:tcPr>
            <w:tcW w:w="205" w:type="pct"/>
          </w:tcPr>
          <w:p w:rsidR="00F95B7E" w:rsidRPr="003B08E6" w:rsidRDefault="00F95B7E" w:rsidP="00F04404">
            <w:pPr>
              <w:contextualSpacing/>
              <w:rPr>
                <w:sz w:val="18"/>
                <w:szCs w:val="18"/>
              </w:rPr>
            </w:pPr>
          </w:p>
        </w:tc>
        <w:tc>
          <w:tcPr>
            <w:tcW w:w="205" w:type="pct"/>
          </w:tcPr>
          <w:p w:rsidR="00F95B7E" w:rsidRPr="003B08E6" w:rsidRDefault="00F95B7E" w:rsidP="00F04404">
            <w:pPr>
              <w:contextualSpacing/>
              <w:rPr>
                <w:sz w:val="18"/>
                <w:szCs w:val="18"/>
              </w:rPr>
            </w:pPr>
          </w:p>
        </w:tc>
        <w:tc>
          <w:tcPr>
            <w:tcW w:w="171" w:type="pct"/>
          </w:tcPr>
          <w:p w:rsidR="00F95B7E" w:rsidRPr="003B08E6" w:rsidRDefault="00F95B7E" w:rsidP="00F04404">
            <w:pPr>
              <w:contextualSpacing/>
              <w:rPr>
                <w:sz w:val="18"/>
                <w:szCs w:val="18"/>
              </w:rPr>
            </w:pPr>
          </w:p>
        </w:tc>
        <w:tc>
          <w:tcPr>
            <w:tcW w:w="171" w:type="pct"/>
          </w:tcPr>
          <w:p w:rsidR="00F95B7E" w:rsidRPr="003B08E6" w:rsidRDefault="00F95B7E" w:rsidP="00F04404">
            <w:pPr>
              <w:contextualSpacing/>
              <w:rPr>
                <w:sz w:val="18"/>
                <w:szCs w:val="18"/>
              </w:rPr>
            </w:pPr>
          </w:p>
        </w:tc>
        <w:tc>
          <w:tcPr>
            <w:tcW w:w="205" w:type="pct"/>
          </w:tcPr>
          <w:p w:rsidR="00F95B7E" w:rsidRPr="003B08E6" w:rsidRDefault="00F95B7E" w:rsidP="00F04404">
            <w:pPr>
              <w:contextualSpacing/>
              <w:rPr>
                <w:sz w:val="18"/>
                <w:szCs w:val="18"/>
              </w:rPr>
            </w:pPr>
          </w:p>
        </w:tc>
        <w:tc>
          <w:tcPr>
            <w:tcW w:w="1680" w:type="pct"/>
          </w:tcPr>
          <w:p w:rsidR="00F95B7E" w:rsidRPr="003B08E6" w:rsidRDefault="00F95B7E" w:rsidP="00F04404">
            <w:pPr>
              <w:contextualSpacing/>
              <w:rPr>
                <w:sz w:val="18"/>
                <w:szCs w:val="18"/>
              </w:rPr>
            </w:pPr>
          </w:p>
        </w:tc>
      </w:tr>
    </w:tbl>
    <w:p w:rsidR="0022605F" w:rsidRPr="00C12908" w:rsidRDefault="00661B52" w:rsidP="00C12908">
      <w:pPr>
        <w:spacing w:before="160" w:after="160" w:line="240" w:lineRule="auto"/>
        <w:rPr>
          <w:b/>
          <w:i/>
          <w:sz w:val="24"/>
          <w:szCs w:val="24"/>
        </w:rPr>
      </w:pPr>
      <w:r w:rsidRPr="00C12908">
        <w:rPr>
          <w:b/>
          <w:i/>
          <w:sz w:val="24"/>
          <w:szCs w:val="24"/>
        </w:rPr>
        <w:t>Legislation and regulation</w:t>
      </w:r>
    </w:p>
    <w:p w:rsidR="002C55E7" w:rsidRPr="006D5631" w:rsidRDefault="002C55E7" w:rsidP="00C12908">
      <w:pPr>
        <w:spacing w:after="160" w:line="240" w:lineRule="auto"/>
        <w:rPr>
          <w:sz w:val="20"/>
          <w:szCs w:val="20"/>
        </w:rPr>
      </w:pPr>
      <w:r w:rsidRPr="006D5631">
        <w:rPr>
          <w:sz w:val="20"/>
          <w:szCs w:val="20"/>
        </w:rPr>
        <w:t>Sensible legislation and effective regulation are an essential component of good governance. There are countless examples of legislation/regulation which generate negative impacts, or instances of good legislation that becomes useless because of a poor enforcement. The presentation will look into a number of cases to explore ways of improving legislation and regulation in the transport sector and their implementation:</w:t>
      </w:r>
    </w:p>
    <w:tbl>
      <w:tblPr>
        <w:tblStyle w:val="TableGrid"/>
        <w:tblW w:w="5000" w:type="pct"/>
        <w:tblLayout w:type="fixed"/>
        <w:tblLook w:val="04A0" w:firstRow="1" w:lastRow="0" w:firstColumn="1" w:lastColumn="0" w:noHBand="0" w:noVBand="1"/>
      </w:tblPr>
      <w:tblGrid>
        <w:gridCol w:w="2068"/>
        <w:gridCol w:w="4161"/>
        <w:gridCol w:w="540"/>
        <w:gridCol w:w="540"/>
        <w:gridCol w:w="451"/>
        <w:gridCol w:w="451"/>
        <w:gridCol w:w="540"/>
        <w:gridCol w:w="4425"/>
      </w:tblGrid>
      <w:tr w:rsidR="002C55E7" w:rsidRPr="00E25667" w:rsidTr="00C12908">
        <w:tc>
          <w:tcPr>
            <w:tcW w:w="785"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Title of the session</w:t>
            </w:r>
          </w:p>
        </w:tc>
        <w:tc>
          <w:tcPr>
            <w:tcW w:w="1579"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Description</w:t>
            </w:r>
          </w:p>
        </w:tc>
        <w:tc>
          <w:tcPr>
            <w:tcW w:w="957" w:type="pct"/>
            <w:gridSpan w:val="5"/>
            <w:shd w:val="clear" w:color="auto" w:fill="E5DFEC" w:themeFill="accent4" w:themeFillTint="33"/>
            <w:vAlign w:val="center"/>
          </w:tcPr>
          <w:p w:rsidR="00763052" w:rsidRPr="00763052" w:rsidRDefault="00CA39C2" w:rsidP="00763052">
            <w:pPr>
              <w:contextualSpacing/>
              <w:jc w:val="center"/>
              <w:rPr>
                <w:b/>
                <w:i/>
                <w:sz w:val="18"/>
                <w:szCs w:val="18"/>
              </w:rPr>
            </w:pPr>
            <w:r w:rsidRPr="00763052">
              <w:rPr>
                <w:b/>
                <w:i/>
                <w:sz w:val="18"/>
                <w:szCs w:val="18"/>
              </w:rPr>
              <w:t xml:space="preserve">How would you rank the session? (Importance/ </w:t>
            </w:r>
            <w:r w:rsidR="00763052" w:rsidRPr="00763052">
              <w:rPr>
                <w:b/>
                <w:i/>
                <w:sz w:val="18"/>
                <w:szCs w:val="18"/>
              </w:rPr>
              <w:t>Relevance of</w:t>
            </w:r>
          </w:p>
          <w:p w:rsidR="002C55E7" w:rsidRPr="00763052" w:rsidRDefault="00CA39C2" w:rsidP="00763052">
            <w:pPr>
              <w:contextualSpacing/>
              <w:jc w:val="center"/>
              <w:rPr>
                <w:b/>
                <w:i/>
                <w:sz w:val="18"/>
                <w:szCs w:val="18"/>
              </w:rPr>
            </w:pPr>
            <w:r w:rsidRPr="00763052">
              <w:rPr>
                <w:b/>
                <w:i/>
                <w:sz w:val="18"/>
                <w:szCs w:val="18"/>
              </w:rPr>
              <w:t>the topic)</w:t>
            </w:r>
          </w:p>
        </w:tc>
        <w:tc>
          <w:tcPr>
            <w:tcW w:w="1680" w:type="pct"/>
            <w:vMerge w:val="restart"/>
            <w:shd w:val="clear" w:color="auto" w:fill="E5DFEC" w:themeFill="accent4" w:themeFillTint="33"/>
            <w:vAlign w:val="center"/>
          </w:tcPr>
          <w:p w:rsidR="002C55E7" w:rsidRPr="00763052" w:rsidRDefault="002C55E7" w:rsidP="00763052">
            <w:pPr>
              <w:contextualSpacing/>
              <w:jc w:val="center"/>
              <w:rPr>
                <w:b/>
                <w:i/>
                <w:sz w:val="18"/>
                <w:szCs w:val="18"/>
              </w:rPr>
            </w:pPr>
            <w:r w:rsidRPr="00763052">
              <w:rPr>
                <w:b/>
                <w:i/>
                <w:sz w:val="18"/>
                <w:szCs w:val="18"/>
              </w:rPr>
              <w:t>Additional comments</w:t>
            </w:r>
          </w:p>
        </w:tc>
      </w:tr>
      <w:tr w:rsidR="002C55E7" w:rsidRPr="00E25667" w:rsidTr="00C12908">
        <w:tc>
          <w:tcPr>
            <w:tcW w:w="785" w:type="pct"/>
            <w:vMerge/>
          </w:tcPr>
          <w:p w:rsidR="002C55E7" w:rsidRPr="00CA39C2" w:rsidRDefault="002C55E7" w:rsidP="00F04404">
            <w:pPr>
              <w:contextualSpacing/>
              <w:rPr>
                <w:b/>
                <w:sz w:val="18"/>
                <w:szCs w:val="18"/>
              </w:rPr>
            </w:pPr>
          </w:p>
        </w:tc>
        <w:tc>
          <w:tcPr>
            <w:tcW w:w="1579" w:type="pct"/>
            <w:vMerge/>
          </w:tcPr>
          <w:p w:rsidR="002C55E7" w:rsidRPr="00CA39C2" w:rsidRDefault="002C55E7" w:rsidP="00F04404">
            <w:pPr>
              <w:contextualSpacing/>
              <w:rPr>
                <w:b/>
                <w:sz w:val="18"/>
                <w:szCs w:val="18"/>
              </w:rPr>
            </w:pPr>
          </w:p>
        </w:tc>
        <w:tc>
          <w:tcPr>
            <w:tcW w:w="205" w:type="pct"/>
            <w:shd w:val="clear" w:color="auto" w:fill="E5DFEC" w:themeFill="accent4" w:themeFillTint="33"/>
          </w:tcPr>
          <w:p w:rsidR="002C55E7" w:rsidRPr="00CA39C2" w:rsidRDefault="002C55E7" w:rsidP="00F04404">
            <w:pPr>
              <w:contextualSpacing/>
              <w:rPr>
                <w:b/>
                <w:sz w:val="18"/>
                <w:szCs w:val="18"/>
              </w:rPr>
            </w:pPr>
            <w:r w:rsidRPr="00CA39C2">
              <w:rPr>
                <w:b/>
                <w:sz w:val="18"/>
                <w:szCs w:val="18"/>
              </w:rPr>
              <w:t>0</w:t>
            </w:r>
          </w:p>
        </w:tc>
        <w:tc>
          <w:tcPr>
            <w:tcW w:w="205" w:type="pct"/>
            <w:shd w:val="clear" w:color="auto" w:fill="E5DFEC" w:themeFill="accent4" w:themeFillTint="33"/>
          </w:tcPr>
          <w:p w:rsidR="002C55E7" w:rsidRPr="00CA39C2" w:rsidRDefault="002C55E7" w:rsidP="00F04404">
            <w:pPr>
              <w:contextualSpacing/>
              <w:rPr>
                <w:b/>
                <w:sz w:val="18"/>
                <w:szCs w:val="18"/>
              </w:rPr>
            </w:pPr>
            <w:r w:rsidRPr="00CA39C2">
              <w:rPr>
                <w:b/>
                <w:sz w:val="18"/>
                <w:szCs w:val="18"/>
              </w:rPr>
              <w:t>1</w:t>
            </w:r>
          </w:p>
        </w:tc>
        <w:tc>
          <w:tcPr>
            <w:tcW w:w="171" w:type="pct"/>
            <w:shd w:val="clear" w:color="auto" w:fill="E5DFEC" w:themeFill="accent4" w:themeFillTint="33"/>
          </w:tcPr>
          <w:p w:rsidR="002C55E7" w:rsidRPr="00CA39C2" w:rsidRDefault="002C55E7" w:rsidP="00F04404">
            <w:pPr>
              <w:contextualSpacing/>
              <w:rPr>
                <w:b/>
                <w:sz w:val="18"/>
                <w:szCs w:val="18"/>
              </w:rPr>
            </w:pPr>
            <w:r w:rsidRPr="00CA39C2">
              <w:rPr>
                <w:b/>
                <w:sz w:val="18"/>
                <w:szCs w:val="18"/>
              </w:rPr>
              <w:t>2</w:t>
            </w:r>
          </w:p>
        </w:tc>
        <w:tc>
          <w:tcPr>
            <w:tcW w:w="171" w:type="pct"/>
            <w:shd w:val="clear" w:color="auto" w:fill="E5DFEC" w:themeFill="accent4" w:themeFillTint="33"/>
          </w:tcPr>
          <w:p w:rsidR="002C55E7" w:rsidRPr="00CA39C2" w:rsidRDefault="002C55E7" w:rsidP="00F04404">
            <w:pPr>
              <w:contextualSpacing/>
              <w:rPr>
                <w:b/>
                <w:sz w:val="18"/>
                <w:szCs w:val="18"/>
              </w:rPr>
            </w:pPr>
            <w:r w:rsidRPr="00CA39C2">
              <w:rPr>
                <w:b/>
                <w:sz w:val="18"/>
                <w:szCs w:val="18"/>
              </w:rPr>
              <w:t>3</w:t>
            </w:r>
          </w:p>
        </w:tc>
        <w:tc>
          <w:tcPr>
            <w:tcW w:w="205" w:type="pct"/>
            <w:shd w:val="clear" w:color="auto" w:fill="E5DFEC" w:themeFill="accent4" w:themeFillTint="33"/>
          </w:tcPr>
          <w:p w:rsidR="002C55E7" w:rsidRPr="00CA39C2" w:rsidRDefault="002C55E7" w:rsidP="00F04404">
            <w:pPr>
              <w:contextualSpacing/>
              <w:rPr>
                <w:b/>
                <w:sz w:val="18"/>
                <w:szCs w:val="18"/>
              </w:rPr>
            </w:pPr>
            <w:r w:rsidRPr="00CA39C2">
              <w:rPr>
                <w:b/>
                <w:sz w:val="18"/>
                <w:szCs w:val="18"/>
              </w:rPr>
              <w:t>4</w:t>
            </w:r>
          </w:p>
        </w:tc>
        <w:tc>
          <w:tcPr>
            <w:tcW w:w="1680" w:type="pct"/>
            <w:vMerge/>
          </w:tcPr>
          <w:p w:rsidR="002C55E7" w:rsidRDefault="002C55E7" w:rsidP="00F04404">
            <w:pPr>
              <w:contextualSpacing/>
            </w:pPr>
          </w:p>
        </w:tc>
      </w:tr>
      <w:tr w:rsidR="000E0831" w:rsidRPr="00E25667" w:rsidTr="00725770">
        <w:tc>
          <w:tcPr>
            <w:tcW w:w="785" w:type="pct"/>
          </w:tcPr>
          <w:p w:rsidR="002C55E7" w:rsidRPr="00CA39C2" w:rsidRDefault="002C55E7" w:rsidP="00F04404">
            <w:pPr>
              <w:contextualSpacing/>
              <w:rPr>
                <w:sz w:val="18"/>
                <w:szCs w:val="18"/>
              </w:rPr>
            </w:pPr>
            <w:r w:rsidRPr="00CA39C2">
              <w:rPr>
                <w:b/>
                <w:sz w:val="18"/>
                <w:szCs w:val="18"/>
              </w:rPr>
              <w:t>Road safety elements</w:t>
            </w:r>
          </w:p>
        </w:tc>
        <w:tc>
          <w:tcPr>
            <w:tcW w:w="1579" w:type="pct"/>
          </w:tcPr>
          <w:p w:rsidR="002C55E7" w:rsidRDefault="00B941BE" w:rsidP="00F04404">
            <w:pPr>
              <w:contextualSpacing/>
              <w:rPr>
                <w:sz w:val="18"/>
                <w:szCs w:val="18"/>
              </w:rPr>
            </w:pPr>
            <w:r>
              <w:rPr>
                <w:sz w:val="18"/>
                <w:szCs w:val="18"/>
              </w:rPr>
              <w:t xml:space="preserve">Advocacy for implementation of legislation on road safety, </w:t>
            </w:r>
            <w:r w:rsidR="002C55E7" w:rsidRPr="00CA39C2">
              <w:rPr>
                <w:sz w:val="18"/>
                <w:szCs w:val="18"/>
              </w:rPr>
              <w:t>e.g. speed and BAC limits, helmets and seat belts rules that are compulsory but hardly enforced</w:t>
            </w:r>
          </w:p>
          <w:p w:rsidR="00C12908" w:rsidRPr="00CA39C2" w:rsidRDefault="00C12908" w:rsidP="00F04404">
            <w:pPr>
              <w:contextualSpacing/>
              <w:rPr>
                <w:sz w:val="18"/>
                <w:szCs w:val="18"/>
              </w:rPr>
            </w:pPr>
          </w:p>
        </w:tc>
        <w:tc>
          <w:tcPr>
            <w:tcW w:w="205" w:type="pct"/>
          </w:tcPr>
          <w:p w:rsidR="002C55E7" w:rsidRPr="00CA39C2" w:rsidRDefault="002C55E7" w:rsidP="00F04404">
            <w:pPr>
              <w:contextualSpacing/>
              <w:rPr>
                <w:sz w:val="18"/>
                <w:szCs w:val="18"/>
              </w:rPr>
            </w:pPr>
          </w:p>
        </w:tc>
        <w:tc>
          <w:tcPr>
            <w:tcW w:w="205" w:type="pct"/>
          </w:tcPr>
          <w:p w:rsidR="002C55E7" w:rsidRPr="00CA39C2" w:rsidRDefault="002C55E7" w:rsidP="00F04404">
            <w:pPr>
              <w:contextualSpacing/>
              <w:rPr>
                <w:sz w:val="18"/>
                <w:szCs w:val="18"/>
              </w:rPr>
            </w:pPr>
          </w:p>
        </w:tc>
        <w:tc>
          <w:tcPr>
            <w:tcW w:w="171" w:type="pct"/>
          </w:tcPr>
          <w:p w:rsidR="002C55E7" w:rsidRPr="00E25667" w:rsidRDefault="002C55E7" w:rsidP="00F04404">
            <w:pPr>
              <w:contextualSpacing/>
            </w:pPr>
          </w:p>
        </w:tc>
        <w:tc>
          <w:tcPr>
            <w:tcW w:w="171" w:type="pct"/>
          </w:tcPr>
          <w:p w:rsidR="002C55E7" w:rsidRPr="00E25667" w:rsidRDefault="002C55E7" w:rsidP="00F04404">
            <w:pPr>
              <w:contextualSpacing/>
            </w:pPr>
          </w:p>
        </w:tc>
        <w:tc>
          <w:tcPr>
            <w:tcW w:w="205" w:type="pct"/>
          </w:tcPr>
          <w:p w:rsidR="002C55E7" w:rsidRPr="00E25667" w:rsidRDefault="002C55E7" w:rsidP="00F04404">
            <w:pPr>
              <w:contextualSpacing/>
            </w:pPr>
          </w:p>
        </w:tc>
        <w:tc>
          <w:tcPr>
            <w:tcW w:w="1680" w:type="pct"/>
          </w:tcPr>
          <w:p w:rsidR="002C55E7" w:rsidRPr="00E25667" w:rsidRDefault="002C55E7" w:rsidP="00F04404">
            <w:pPr>
              <w:contextualSpacing/>
            </w:pPr>
          </w:p>
        </w:tc>
      </w:tr>
      <w:tr w:rsidR="000E0831" w:rsidRPr="00E25667" w:rsidTr="00AF7AC7">
        <w:trPr>
          <w:trHeight w:val="917"/>
        </w:trPr>
        <w:tc>
          <w:tcPr>
            <w:tcW w:w="785" w:type="pct"/>
          </w:tcPr>
          <w:p w:rsidR="002C55E7" w:rsidRPr="00CA39C2" w:rsidRDefault="000E0831" w:rsidP="00AF7AC7">
            <w:pPr>
              <w:rPr>
                <w:sz w:val="18"/>
                <w:szCs w:val="18"/>
              </w:rPr>
            </w:pPr>
            <w:proofErr w:type="spellStart"/>
            <w:r w:rsidRPr="00CA39C2">
              <w:rPr>
                <w:b/>
                <w:sz w:val="18"/>
                <w:szCs w:val="18"/>
              </w:rPr>
              <w:t>QuARTA</w:t>
            </w:r>
            <w:proofErr w:type="spellEnd"/>
            <w:r w:rsidRPr="00CA39C2">
              <w:rPr>
                <w:b/>
                <w:sz w:val="18"/>
                <w:szCs w:val="18"/>
              </w:rPr>
              <w:t xml:space="preserve"> review</w:t>
            </w:r>
            <w:r w:rsidRPr="00CA39C2">
              <w:rPr>
                <w:sz w:val="18"/>
                <w:szCs w:val="18"/>
              </w:rPr>
              <w:t xml:space="preserve"> </w:t>
            </w:r>
            <w:r w:rsidRPr="00C12908">
              <w:rPr>
                <w:b/>
                <w:sz w:val="18"/>
                <w:szCs w:val="18"/>
              </w:rPr>
              <w:t>of bilateral transport and transit facilitation agreements</w:t>
            </w:r>
          </w:p>
        </w:tc>
        <w:tc>
          <w:tcPr>
            <w:tcW w:w="1579" w:type="pct"/>
          </w:tcPr>
          <w:p w:rsidR="002C55E7" w:rsidRDefault="009F18BD" w:rsidP="009F18BD">
            <w:pPr>
              <w:rPr>
                <w:sz w:val="18"/>
                <w:szCs w:val="18"/>
              </w:rPr>
            </w:pPr>
            <w:r w:rsidRPr="009F18BD">
              <w:rPr>
                <w:sz w:val="18"/>
                <w:szCs w:val="18"/>
              </w:rPr>
              <w:t>The review identifies the defining characteristics of regional road transport agreements and the implica</w:t>
            </w:r>
            <w:r w:rsidRPr="009F18BD">
              <w:rPr>
                <w:sz w:val="18"/>
                <w:szCs w:val="18"/>
              </w:rPr>
              <w:softHyphen/>
              <w:t>tions they may have on market integration. It is intended to guide countries in their efforts to reform their road transport sectors.</w:t>
            </w:r>
          </w:p>
          <w:p w:rsidR="00C12908" w:rsidRPr="00CA39C2" w:rsidRDefault="00C12908" w:rsidP="009F18BD">
            <w:pPr>
              <w:contextualSpacing/>
              <w:rPr>
                <w:sz w:val="18"/>
                <w:szCs w:val="18"/>
              </w:rPr>
            </w:pPr>
          </w:p>
        </w:tc>
        <w:tc>
          <w:tcPr>
            <w:tcW w:w="205" w:type="pct"/>
          </w:tcPr>
          <w:p w:rsidR="002C55E7" w:rsidRPr="00CA39C2" w:rsidRDefault="002C55E7" w:rsidP="00F04404">
            <w:pPr>
              <w:contextualSpacing/>
              <w:rPr>
                <w:sz w:val="18"/>
                <w:szCs w:val="18"/>
              </w:rPr>
            </w:pPr>
          </w:p>
        </w:tc>
        <w:tc>
          <w:tcPr>
            <w:tcW w:w="205" w:type="pct"/>
          </w:tcPr>
          <w:p w:rsidR="002C55E7" w:rsidRPr="00CA39C2" w:rsidRDefault="002C55E7" w:rsidP="00F04404">
            <w:pPr>
              <w:contextualSpacing/>
              <w:rPr>
                <w:sz w:val="18"/>
                <w:szCs w:val="18"/>
              </w:rPr>
            </w:pPr>
          </w:p>
        </w:tc>
        <w:tc>
          <w:tcPr>
            <w:tcW w:w="171" w:type="pct"/>
          </w:tcPr>
          <w:p w:rsidR="002C55E7" w:rsidRPr="00E25667" w:rsidRDefault="002C55E7" w:rsidP="00F04404">
            <w:pPr>
              <w:contextualSpacing/>
            </w:pPr>
          </w:p>
        </w:tc>
        <w:tc>
          <w:tcPr>
            <w:tcW w:w="171" w:type="pct"/>
          </w:tcPr>
          <w:p w:rsidR="002C55E7" w:rsidRPr="00E25667" w:rsidRDefault="002C55E7" w:rsidP="00F04404">
            <w:pPr>
              <w:contextualSpacing/>
            </w:pPr>
          </w:p>
        </w:tc>
        <w:tc>
          <w:tcPr>
            <w:tcW w:w="205" w:type="pct"/>
          </w:tcPr>
          <w:p w:rsidR="002C55E7" w:rsidRPr="00E25667" w:rsidRDefault="002C55E7" w:rsidP="00F04404">
            <w:pPr>
              <w:contextualSpacing/>
            </w:pPr>
          </w:p>
        </w:tc>
        <w:tc>
          <w:tcPr>
            <w:tcW w:w="1680" w:type="pct"/>
          </w:tcPr>
          <w:p w:rsidR="002C55E7" w:rsidRPr="00E25667" w:rsidRDefault="002C55E7" w:rsidP="00F04404">
            <w:pPr>
              <w:contextualSpacing/>
            </w:pPr>
          </w:p>
        </w:tc>
      </w:tr>
      <w:tr w:rsidR="000E0831" w:rsidRPr="00E25667" w:rsidTr="00725770">
        <w:tc>
          <w:tcPr>
            <w:tcW w:w="785" w:type="pct"/>
          </w:tcPr>
          <w:p w:rsidR="002C55E7" w:rsidRPr="00CA39C2" w:rsidRDefault="000E0831" w:rsidP="00AF7AC7">
            <w:pPr>
              <w:rPr>
                <w:sz w:val="18"/>
                <w:szCs w:val="18"/>
              </w:rPr>
            </w:pPr>
            <w:r w:rsidRPr="00CA39C2">
              <w:rPr>
                <w:b/>
                <w:sz w:val="18"/>
                <w:szCs w:val="18"/>
              </w:rPr>
              <w:t>UN conventions on facilitation</w:t>
            </w:r>
          </w:p>
        </w:tc>
        <w:tc>
          <w:tcPr>
            <w:tcW w:w="1579" w:type="pct"/>
          </w:tcPr>
          <w:p w:rsidR="002C55E7" w:rsidRDefault="00AF7AC7" w:rsidP="00F04404">
            <w:pPr>
              <w:contextualSpacing/>
              <w:rPr>
                <w:sz w:val="18"/>
                <w:szCs w:val="18"/>
              </w:rPr>
            </w:pPr>
            <w:r>
              <w:rPr>
                <w:sz w:val="18"/>
                <w:szCs w:val="18"/>
              </w:rPr>
              <w:t xml:space="preserve">Advocacy on the adoption and use of the UN conventions as models to facilitate </w:t>
            </w:r>
            <w:r w:rsidR="009F18BD">
              <w:rPr>
                <w:sz w:val="18"/>
                <w:szCs w:val="18"/>
              </w:rPr>
              <w:t>regional transit and trade</w:t>
            </w:r>
          </w:p>
          <w:p w:rsidR="00C12908" w:rsidRPr="00CA39C2" w:rsidRDefault="00C12908" w:rsidP="00F04404">
            <w:pPr>
              <w:contextualSpacing/>
              <w:rPr>
                <w:sz w:val="18"/>
                <w:szCs w:val="18"/>
              </w:rPr>
            </w:pPr>
          </w:p>
        </w:tc>
        <w:tc>
          <w:tcPr>
            <w:tcW w:w="205" w:type="pct"/>
          </w:tcPr>
          <w:p w:rsidR="002C55E7" w:rsidRPr="00CA39C2" w:rsidRDefault="002C55E7" w:rsidP="00F04404">
            <w:pPr>
              <w:contextualSpacing/>
              <w:rPr>
                <w:sz w:val="18"/>
                <w:szCs w:val="18"/>
              </w:rPr>
            </w:pPr>
          </w:p>
        </w:tc>
        <w:tc>
          <w:tcPr>
            <w:tcW w:w="205" w:type="pct"/>
          </w:tcPr>
          <w:p w:rsidR="002C55E7" w:rsidRPr="00CA39C2" w:rsidRDefault="002C55E7" w:rsidP="00F04404">
            <w:pPr>
              <w:contextualSpacing/>
              <w:rPr>
                <w:sz w:val="18"/>
                <w:szCs w:val="18"/>
              </w:rPr>
            </w:pPr>
          </w:p>
        </w:tc>
        <w:tc>
          <w:tcPr>
            <w:tcW w:w="171" w:type="pct"/>
          </w:tcPr>
          <w:p w:rsidR="002C55E7" w:rsidRPr="00E25667" w:rsidRDefault="002C55E7" w:rsidP="00F04404">
            <w:pPr>
              <w:contextualSpacing/>
            </w:pPr>
          </w:p>
        </w:tc>
        <w:tc>
          <w:tcPr>
            <w:tcW w:w="171" w:type="pct"/>
          </w:tcPr>
          <w:p w:rsidR="002C55E7" w:rsidRPr="00E25667" w:rsidRDefault="002C55E7" w:rsidP="00F04404">
            <w:pPr>
              <w:contextualSpacing/>
            </w:pPr>
          </w:p>
        </w:tc>
        <w:tc>
          <w:tcPr>
            <w:tcW w:w="205" w:type="pct"/>
          </w:tcPr>
          <w:p w:rsidR="002C55E7" w:rsidRPr="00E25667" w:rsidRDefault="002C55E7" w:rsidP="00F04404">
            <w:pPr>
              <w:contextualSpacing/>
            </w:pPr>
          </w:p>
        </w:tc>
        <w:tc>
          <w:tcPr>
            <w:tcW w:w="1680" w:type="pct"/>
          </w:tcPr>
          <w:p w:rsidR="002C55E7" w:rsidRPr="00E25667" w:rsidRDefault="002C55E7" w:rsidP="00F04404">
            <w:pPr>
              <w:contextualSpacing/>
            </w:pPr>
          </w:p>
        </w:tc>
      </w:tr>
      <w:tr w:rsidR="00FC72E9" w:rsidRPr="00E25667" w:rsidTr="00725770">
        <w:tc>
          <w:tcPr>
            <w:tcW w:w="785" w:type="pct"/>
          </w:tcPr>
          <w:p w:rsidR="00FC72E9" w:rsidRPr="00CA39C2" w:rsidRDefault="00AF7AC7" w:rsidP="00AF7AC7">
            <w:pPr>
              <w:rPr>
                <w:b/>
                <w:sz w:val="18"/>
                <w:szCs w:val="18"/>
              </w:rPr>
            </w:pPr>
            <w:r>
              <w:rPr>
                <w:b/>
                <w:sz w:val="18"/>
                <w:szCs w:val="18"/>
              </w:rPr>
              <w:t xml:space="preserve">Harmonization of norms and </w:t>
            </w:r>
            <w:r w:rsidR="00FC72E9" w:rsidRPr="00FC72E9">
              <w:rPr>
                <w:b/>
                <w:sz w:val="18"/>
                <w:szCs w:val="18"/>
              </w:rPr>
              <w:t>standards for the Trans-African Highways</w:t>
            </w:r>
          </w:p>
        </w:tc>
        <w:tc>
          <w:tcPr>
            <w:tcW w:w="1579" w:type="pct"/>
          </w:tcPr>
          <w:p w:rsidR="007A7E2A" w:rsidRDefault="00AF7AC7" w:rsidP="00AF7AC7">
            <w:pPr>
              <w:contextualSpacing/>
              <w:rPr>
                <w:sz w:val="18"/>
                <w:szCs w:val="18"/>
              </w:rPr>
            </w:pPr>
            <w:r>
              <w:rPr>
                <w:sz w:val="18"/>
                <w:szCs w:val="18"/>
              </w:rPr>
              <w:t>Dissemination of the intergovernmental agreement prepared by the African Union Commission and which will presented for approval to the next Conference of African Ministers of Transport</w:t>
            </w:r>
          </w:p>
          <w:p w:rsidR="00FC72E9" w:rsidRPr="00CA39C2" w:rsidRDefault="00AF7AC7" w:rsidP="00AF7AC7">
            <w:pPr>
              <w:contextualSpacing/>
              <w:rPr>
                <w:sz w:val="18"/>
                <w:szCs w:val="18"/>
              </w:rPr>
            </w:pPr>
            <w:r>
              <w:rPr>
                <w:sz w:val="18"/>
                <w:szCs w:val="18"/>
              </w:rPr>
              <w:t xml:space="preserve"> </w:t>
            </w:r>
          </w:p>
        </w:tc>
        <w:tc>
          <w:tcPr>
            <w:tcW w:w="205" w:type="pct"/>
          </w:tcPr>
          <w:p w:rsidR="00FC72E9" w:rsidRPr="00CA39C2" w:rsidRDefault="00FC72E9" w:rsidP="00F04404">
            <w:pPr>
              <w:contextualSpacing/>
              <w:rPr>
                <w:sz w:val="18"/>
                <w:szCs w:val="18"/>
              </w:rPr>
            </w:pPr>
          </w:p>
        </w:tc>
        <w:tc>
          <w:tcPr>
            <w:tcW w:w="205" w:type="pct"/>
          </w:tcPr>
          <w:p w:rsidR="00FC72E9" w:rsidRPr="00CA39C2" w:rsidRDefault="00FC72E9" w:rsidP="00F04404">
            <w:pPr>
              <w:contextualSpacing/>
              <w:rPr>
                <w:sz w:val="18"/>
                <w:szCs w:val="18"/>
              </w:rPr>
            </w:pPr>
          </w:p>
        </w:tc>
        <w:tc>
          <w:tcPr>
            <w:tcW w:w="171" w:type="pct"/>
          </w:tcPr>
          <w:p w:rsidR="00FC72E9" w:rsidRPr="00E25667" w:rsidRDefault="00FC72E9" w:rsidP="00F04404">
            <w:pPr>
              <w:contextualSpacing/>
            </w:pPr>
          </w:p>
        </w:tc>
        <w:tc>
          <w:tcPr>
            <w:tcW w:w="171" w:type="pct"/>
          </w:tcPr>
          <w:p w:rsidR="00FC72E9" w:rsidRPr="00E25667" w:rsidRDefault="00FC72E9" w:rsidP="00F04404">
            <w:pPr>
              <w:contextualSpacing/>
            </w:pPr>
          </w:p>
        </w:tc>
        <w:tc>
          <w:tcPr>
            <w:tcW w:w="205" w:type="pct"/>
          </w:tcPr>
          <w:p w:rsidR="00FC72E9" w:rsidRPr="00E25667" w:rsidRDefault="00FC72E9" w:rsidP="00F04404">
            <w:pPr>
              <w:contextualSpacing/>
            </w:pPr>
          </w:p>
        </w:tc>
        <w:tc>
          <w:tcPr>
            <w:tcW w:w="1680" w:type="pct"/>
          </w:tcPr>
          <w:p w:rsidR="00FC72E9" w:rsidRPr="00E25667" w:rsidRDefault="00FC72E9" w:rsidP="00F04404">
            <w:pPr>
              <w:contextualSpacing/>
            </w:pPr>
          </w:p>
        </w:tc>
      </w:tr>
    </w:tbl>
    <w:p w:rsidR="004A79BF" w:rsidRDefault="004A79BF" w:rsidP="004A79BF">
      <w:pPr>
        <w:spacing w:line="240" w:lineRule="auto"/>
        <w:rPr>
          <w:b/>
        </w:rPr>
      </w:pPr>
      <w:r w:rsidRPr="0049677E">
        <w:rPr>
          <w:b/>
        </w:rPr>
        <w:lastRenderedPageBreak/>
        <w:t>SPEARHEADING TRANSPORT POLICY REFORM IN AFRICA – AN OVERVIEW OF SSATP’S FLAGSHIP PROJECTS</w:t>
      </w:r>
    </w:p>
    <w:tbl>
      <w:tblPr>
        <w:tblStyle w:val="TableGrid"/>
        <w:tblW w:w="0" w:type="auto"/>
        <w:tblLayout w:type="fixed"/>
        <w:tblLook w:val="04A0" w:firstRow="1" w:lastRow="0" w:firstColumn="1" w:lastColumn="0" w:noHBand="0" w:noVBand="1"/>
      </w:tblPr>
      <w:tblGrid>
        <w:gridCol w:w="1907"/>
        <w:gridCol w:w="4141"/>
        <w:gridCol w:w="450"/>
        <w:gridCol w:w="450"/>
        <w:gridCol w:w="450"/>
        <w:gridCol w:w="450"/>
        <w:gridCol w:w="540"/>
        <w:gridCol w:w="4770"/>
      </w:tblGrid>
      <w:tr w:rsidR="00CA39C2" w:rsidRPr="00E25667" w:rsidTr="007A7E2A">
        <w:trPr>
          <w:tblHeader/>
        </w:trPr>
        <w:tc>
          <w:tcPr>
            <w:tcW w:w="1907" w:type="dxa"/>
            <w:vMerge w:val="restart"/>
            <w:shd w:val="clear" w:color="auto" w:fill="E5DFEC" w:themeFill="accent4" w:themeFillTint="33"/>
            <w:vAlign w:val="center"/>
          </w:tcPr>
          <w:p w:rsidR="00E65EB7" w:rsidRPr="00763052" w:rsidRDefault="00E65EB7" w:rsidP="00763052">
            <w:pPr>
              <w:contextualSpacing/>
              <w:jc w:val="center"/>
              <w:rPr>
                <w:b/>
                <w:i/>
                <w:sz w:val="18"/>
                <w:szCs w:val="18"/>
              </w:rPr>
            </w:pPr>
            <w:r w:rsidRPr="00763052">
              <w:rPr>
                <w:b/>
                <w:i/>
                <w:sz w:val="18"/>
                <w:szCs w:val="18"/>
              </w:rPr>
              <w:t>Title of the session</w:t>
            </w:r>
          </w:p>
        </w:tc>
        <w:tc>
          <w:tcPr>
            <w:tcW w:w="4141" w:type="dxa"/>
            <w:vMerge w:val="restart"/>
            <w:shd w:val="clear" w:color="auto" w:fill="E5DFEC" w:themeFill="accent4" w:themeFillTint="33"/>
            <w:vAlign w:val="center"/>
          </w:tcPr>
          <w:p w:rsidR="00E65EB7" w:rsidRPr="00763052" w:rsidRDefault="00E65EB7" w:rsidP="00763052">
            <w:pPr>
              <w:contextualSpacing/>
              <w:jc w:val="center"/>
              <w:rPr>
                <w:b/>
                <w:i/>
                <w:sz w:val="18"/>
                <w:szCs w:val="18"/>
              </w:rPr>
            </w:pPr>
            <w:r w:rsidRPr="00763052">
              <w:rPr>
                <w:b/>
                <w:i/>
                <w:sz w:val="18"/>
                <w:szCs w:val="18"/>
              </w:rPr>
              <w:t>Description</w:t>
            </w:r>
          </w:p>
        </w:tc>
        <w:tc>
          <w:tcPr>
            <w:tcW w:w="2340" w:type="dxa"/>
            <w:gridSpan w:val="5"/>
            <w:shd w:val="clear" w:color="auto" w:fill="E5DFEC" w:themeFill="accent4" w:themeFillTint="33"/>
            <w:vAlign w:val="center"/>
          </w:tcPr>
          <w:p w:rsidR="00763052" w:rsidRPr="00763052" w:rsidRDefault="00CA39C2" w:rsidP="00763052">
            <w:pPr>
              <w:contextualSpacing/>
              <w:jc w:val="center"/>
              <w:rPr>
                <w:b/>
                <w:i/>
                <w:sz w:val="18"/>
                <w:szCs w:val="18"/>
              </w:rPr>
            </w:pPr>
            <w:r w:rsidRPr="00763052">
              <w:rPr>
                <w:b/>
                <w:i/>
                <w:sz w:val="18"/>
                <w:szCs w:val="18"/>
              </w:rPr>
              <w:t xml:space="preserve">How would you rank the session? (Importance/ </w:t>
            </w:r>
            <w:r w:rsidR="00763052" w:rsidRPr="00763052">
              <w:rPr>
                <w:b/>
                <w:i/>
                <w:sz w:val="18"/>
                <w:szCs w:val="18"/>
              </w:rPr>
              <w:t>Relevance of</w:t>
            </w:r>
          </w:p>
          <w:p w:rsidR="00E65EB7" w:rsidRPr="00763052" w:rsidRDefault="00CA39C2" w:rsidP="00763052">
            <w:pPr>
              <w:contextualSpacing/>
              <w:jc w:val="center"/>
              <w:rPr>
                <w:b/>
                <w:i/>
                <w:sz w:val="18"/>
                <w:szCs w:val="18"/>
              </w:rPr>
            </w:pPr>
            <w:r w:rsidRPr="00763052">
              <w:rPr>
                <w:b/>
                <w:i/>
                <w:sz w:val="18"/>
                <w:szCs w:val="18"/>
              </w:rPr>
              <w:t>the topic)</w:t>
            </w:r>
          </w:p>
        </w:tc>
        <w:tc>
          <w:tcPr>
            <w:tcW w:w="4770" w:type="dxa"/>
            <w:vMerge w:val="restart"/>
            <w:shd w:val="clear" w:color="auto" w:fill="E5DFEC" w:themeFill="accent4" w:themeFillTint="33"/>
            <w:vAlign w:val="center"/>
          </w:tcPr>
          <w:p w:rsidR="00E65EB7" w:rsidRPr="00763052" w:rsidRDefault="00E65EB7" w:rsidP="00763052">
            <w:pPr>
              <w:contextualSpacing/>
              <w:jc w:val="center"/>
              <w:rPr>
                <w:b/>
                <w:i/>
                <w:sz w:val="18"/>
                <w:szCs w:val="18"/>
              </w:rPr>
            </w:pPr>
            <w:r w:rsidRPr="00763052">
              <w:rPr>
                <w:b/>
                <w:i/>
                <w:sz w:val="18"/>
                <w:szCs w:val="18"/>
              </w:rPr>
              <w:t>Additional comments</w:t>
            </w:r>
          </w:p>
        </w:tc>
      </w:tr>
      <w:tr w:rsidR="00CA39C2" w:rsidRPr="00E25667" w:rsidTr="007A7E2A">
        <w:trPr>
          <w:tblHeader/>
        </w:trPr>
        <w:tc>
          <w:tcPr>
            <w:tcW w:w="1907" w:type="dxa"/>
            <w:vMerge/>
          </w:tcPr>
          <w:p w:rsidR="00E65EB7" w:rsidRPr="00E25667" w:rsidRDefault="00E65EB7" w:rsidP="00F04404">
            <w:pPr>
              <w:contextualSpacing/>
            </w:pPr>
          </w:p>
        </w:tc>
        <w:tc>
          <w:tcPr>
            <w:tcW w:w="4141" w:type="dxa"/>
            <w:vMerge/>
          </w:tcPr>
          <w:p w:rsidR="00E65EB7" w:rsidRPr="00E25667" w:rsidRDefault="00E65EB7" w:rsidP="00F04404">
            <w:pPr>
              <w:contextualSpacing/>
            </w:pPr>
          </w:p>
        </w:tc>
        <w:tc>
          <w:tcPr>
            <w:tcW w:w="450" w:type="dxa"/>
            <w:shd w:val="clear" w:color="auto" w:fill="E5DFEC" w:themeFill="accent4" w:themeFillTint="33"/>
          </w:tcPr>
          <w:p w:rsidR="00E65EB7" w:rsidRPr="00CA39C2" w:rsidRDefault="00E65EB7" w:rsidP="00F04404">
            <w:pPr>
              <w:contextualSpacing/>
              <w:rPr>
                <w:b/>
                <w:sz w:val="18"/>
                <w:szCs w:val="18"/>
              </w:rPr>
            </w:pPr>
            <w:r w:rsidRPr="00CA39C2">
              <w:rPr>
                <w:b/>
                <w:sz w:val="18"/>
                <w:szCs w:val="18"/>
              </w:rPr>
              <w:t>0</w:t>
            </w:r>
          </w:p>
        </w:tc>
        <w:tc>
          <w:tcPr>
            <w:tcW w:w="450" w:type="dxa"/>
            <w:shd w:val="clear" w:color="auto" w:fill="E5DFEC" w:themeFill="accent4" w:themeFillTint="33"/>
          </w:tcPr>
          <w:p w:rsidR="00E65EB7" w:rsidRPr="00CA39C2" w:rsidRDefault="00E65EB7" w:rsidP="00F04404">
            <w:pPr>
              <w:contextualSpacing/>
              <w:rPr>
                <w:b/>
                <w:sz w:val="18"/>
                <w:szCs w:val="18"/>
              </w:rPr>
            </w:pPr>
            <w:r w:rsidRPr="00CA39C2">
              <w:rPr>
                <w:b/>
                <w:sz w:val="18"/>
                <w:szCs w:val="18"/>
              </w:rPr>
              <w:t>1</w:t>
            </w:r>
          </w:p>
        </w:tc>
        <w:tc>
          <w:tcPr>
            <w:tcW w:w="450" w:type="dxa"/>
            <w:shd w:val="clear" w:color="auto" w:fill="E5DFEC" w:themeFill="accent4" w:themeFillTint="33"/>
          </w:tcPr>
          <w:p w:rsidR="00E65EB7" w:rsidRPr="00CA39C2" w:rsidRDefault="00E65EB7" w:rsidP="00F04404">
            <w:pPr>
              <w:contextualSpacing/>
              <w:rPr>
                <w:b/>
                <w:sz w:val="18"/>
                <w:szCs w:val="18"/>
              </w:rPr>
            </w:pPr>
            <w:r w:rsidRPr="00CA39C2">
              <w:rPr>
                <w:b/>
                <w:sz w:val="18"/>
                <w:szCs w:val="18"/>
              </w:rPr>
              <w:t>2</w:t>
            </w:r>
          </w:p>
        </w:tc>
        <w:tc>
          <w:tcPr>
            <w:tcW w:w="450" w:type="dxa"/>
            <w:shd w:val="clear" w:color="auto" w:fill="E5DFEC" w:themeFill="accent4" w:themeFillTint="33"/>
          </w:tcPr>
          <w:p w:rsidR="00E65EB7" w:rsidRPr="00CA39C2" w:rsidRDefault="00E65EB7" w:rsidP="00F04404">
            <w:pPr>
              <w:contextualSpacing/>
              <w:rPr>
                <w:b/>
                <w:sz w:val="18"/>
                <w:szCs w:val="18"/>
              </w:rPr>
            </w:pPr>
            <w:r w:rsidRPr="00CA39C2">
              <w:rPr>
                <w:b/>
                <w:sz w:val="18"/>
                <w:szCs w:val="18"/>
              </w:rPr>
              <w:t>3</w:t>
            </w:r>
          </w:p>
        </w:tc>
        <w:tc>
          <w:tcPr>
            <w:tcW w:w="540" w:type="dxa"/>
            <w:shd w:val="clear" w:color="auto" w:fill="E5DFEC" w:themeFill="accent4" w:themeFillTint="33"/>
          </w:tcPr>
          <w:p w:rsidR="00E65EB7" w:rsidRPr="00CA39C2" w:rsidRDefault="00E65EB7" w:rsidP="00F04404">
            <w:pPr>
              <w:contextualSpacing/>
              <w:rPr>
                <w:b/>
                <w:sz w:val="18"/>
                <w:szCs w:val="18"/>
              </w:rPr>
            </w:pPr>
            <w:r w:rsidRPr="00CA39C2">
              <w:rPr>
                <w:b/>
                <w:sz w:val="18"/>
                <w:szCs w:val="18"/>
              </w:rPr>
              <w:t>4</w:t>
            </w:r>
          </w:p>
        </w:tc>
        <w:tc>
          <w:tcPr>
            <w:tcW w:w="4770" w:type="dxa"/>
            <w:vMerge/>
          </w:tcPr>
          <w:p w:rsidR="00E65EB7" w:rsidRDefault="00E65EB7" w:rsidP="00F04404">
            <w:pPr>
              <w:contextualSpacing/>
            </w:pPr>
          </w:p>
        </w:tc>
      </w:tr>
      <w:tr w:rsidR="00CA39C2" w:rsidRPr="00E25667" w:rsidTr="00087517">
        <w:tc>
          <w:tcPr>
            <w:tcW w:w="1907" w:type="dxa"/>
          </w:tcPr>
          <w:p w:rsidR="00E65EB7" w:rsidRPr="00CA39C2" w:rsidRDefault="00E65EB7" w:rsidP="00F04404">
            <w:pPr>
              <w:contextualSpacing/>
              <w:rPr>
                <w:sz w:val="18"/>
                <w:szCs w:val="18"/>
              </w:rPr>
            </w:pPr>
            <w:r w:rsidRPr="00CA39C2">
              <w:rPr>
                <w:b/>
                <w:bCs/>
                <w:sz w:val="18"/>
                <w:szCs w:val="18"/>
              </w:rPr>
              <w:t xml:space="preserve">Presentation of SSATP’s upcoming publication on </w:t>
            </w:r>
            <w:r w:rsidRPr="00CA39C2">
              <w:rPr>
                <w:b/>
                <w:bCs/>
                <w:i/>
                <w:sz w:val="18"/>
                <w:szCs w:val="18"/>
              </w:rPr>
              <w:t xml:space="preserve">Facilitation of Transport and Trade </w:t>
            </w:r>
            <w:r w:rsidRPr="00CA39C2">
              <w:rPr>
                <w:b/>
                <w:bCs/>
                <w:i/>
                <w:sz w:val="18"/>
                <w:szCs w:val="18"/>
              </w:rPr>
              <w:br/>
              <w:t>in Africa - A Review of International Legal Instruments</w:t>
            </w:r>
            <w:r w:rsidRPr="00CA39C2">
              <w:rPr>
                <w:bCs/>
                <w:sz w:val="18"/>
                <w:szCs w:val="18"/>
              </w:rPr>
              <w:t xml:space="preserve">: </w:t>
            </w:r>
            <w:r w:rsidRPr="00CA39C2">
              <w:rPr>
                <w:b/>
                <w:bCs/>
                <w:i/>
                <w:sz w:val="18"/>
                <w:szCs w:val="18"/>
              </w:rPr>
              <w:t>Treaties, Conventions, Protocols, Decisions, Directives</w:t>
            </w:r>
          </w:p>
        </w:tc>
        <w:tc>
          <w:tcPr>
            <w:tcW w:w="4141" w:type="dxa"/>
          </w:tcPr>
          <w:p w:rsidR="00E65EB7" w:rsidRPr="00CA39C2" w:rsidRDefault="00E65EB7" w:rsidP="00E65EB7">
            <w:pPr>
              <w:rPr>
                <w:b/>
                <w:bCs/>
                <w:sz w:val="18"/>
                <w:szCs w:val="18"/>
              </w:rPr>
            </w:pPr>
            <w:r w:rsidRPr="00CA39C2">
              <w:rPr>
                <w:sz w:val="18"/>
                <w:szCs w:val="18"/>
              </w:rPr>
              <w:t>This publication is a sophomore inventory of the transport and trade legal framework in Africa, after a first issue published in 2004. Focusing on the whole continent rather than Sub-Saharan Africa solely, it emphasizes the role of legal instruments in the facilitation of trade flows within African sub-regions, thus achieving a better regional economic integration. This second issue enumerates around 140 conventions and agreements (including air transport) as cooperation between African countries has significantly developed over the last decade.</w:t>
            </w:r>
          </w:p>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540" w:type="dxa"/>
          </w:tcPr>
          <w:p w:rsidR="00E65EB7" w:rsidRPr="00CA39C2" w:rsidRDefault="00E65EB7" w:rsidP="00F04404">
            <w:pPr>
              <w:contextualSpacing/>
              <w:rPr>
                <w:sz w:val="18"/>
                <w:szCs w:val="18"/>
              </w:rPr>
            </w:pPr>
          </w:p>
        </w:tc>
        <w:tc>
          <w:tcPr>
            <w:tcW w:w="4770" w:type="dxa"/>
          </w:tcPr>
          <w:p w:rsidR="00E65EB7" w:rsidRPr="00CA39C2" w:rsidRDefault="00E65EB7" w:rsidP="00F04404">
            <w:pPr>
              <w:contextualSpacing/>
              <w:rPr>
                <w:sz w:val="18"/>
                <w:szCs w:val="18"/>
              </w:rPr>
            </w:pPr>
          </w:p>
        </w:tc>
      </w:tr>
      <w:tr w:rsidR="00CA39C2" w:rsidRPr="00E25667" w:rsidTr="00087517">
        <w:trPr>
          <w:trHeight w:val="2150"/>
        </w:trPr>
        <w:tc>
          <w:tcPr>
            <w:tcW w:w="1907" w:type="dxa"/>
          </w:tcPr>
          <w:p w:rsidR="00E65EB7" w:rsidRPr="00CA39C2" w:rsidRDefault="00E65EB7" w:rsidP="002318C6">
            <w:pPr>
              <w:rPr>
                <w:sz w:val="18"/>
                <w:szCs w:val="18"/>
              </w:rPr>
            </w:pPr>
            <w:r w:rsidRPr="00CA39C2">
              <w:rPr>
                <w:b/>
                <w:sz w:val="18"/>
                <w:szCs w:val="18"/>
              </w:rPr>
              <w:t>Sub-Saharan Africa Transport</w:t>
            </w:r>
            <w:r w:rsidR="002318C6" w:rsidRPr="00CA39C2">
              <w:rPr>
                <w:b/>
                <w:sz w:val="18"/>
                <w:szCs w:val="18"/>
              </w:rPr>
              <w:t xml:space="preserve"> </w:t>
            </w:r>
            <w:r w:rsidRPr="00CA39C2">
              <w:rPr>
                <w:b/>
                <w:sz w:val="18"/>
                <w:szCs w:val="18"/>
              </w:rPr>
              <w:t>Policy Performance Review</w:t>
            </w:r>
          </w:p>
          <w:p w:rsidR="00E65EB7" w:rsidRPr="00CA39C2" w:rsidRDefault="00E65EB7" w:rsidP="00F04404">
            <w:pPr>
              <w:contextualSpacing/>
              <w:rPr>
                <w:sz w:val="18"/>
                <w:szCs w:val="18"/>
              </w:rPr>
            </w:pPr>
          </w:p>
        </w:tc>
        <w:tc>
          <w:tcPr>
            <w:tcW w:w="4141" w:type="dxa"/>
          </w:tcPr>
          <w:p w:rsidR="00E65EB7" w:rsidRDefault="00E65EB7" w:rsidP="00F04404">
            <w:pPr>
              <w:contextualSpacing/>
              <w:rPr>
                <w:sz w:val="18"/>
                <w:szCs w:val="18"/>
              </w:rPr>
            </w:pPr>
            <w:r w:rsidRPr="00CA39C2">
              <w:rPr>
                <w:sz w:val="18"/>
                <w:szCs w:val="18"/>
              </w:rPr>
              <w:t>This publication aims to assess the performance of several transport sector policies, strategies and initiatives undertaken in Sub-Saharan Africa with the support of international financial institutions and donors. It focuses on the evaluation of policy performance and progress with respect to SSATP’s Second Development Plan (DP2) themes, following the establishment of multiple road agencies and road funds, as well as multi-country corridor agencies.</w:t>
            </w:r>
          </w:p>
          <w:p w:rsidR="007A7E2A" w:rsidRPr="00CA39C2" w:rsidRDefault="007A7E2A"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540" w:type="dxa"/>
          </w:tcPr>
          <w:p w:rsidR="00E65EB7" w:rsidRPr="00CA39C2" w:rsidRDefault="00E65EB7" w:rsidP="00F04404">
            <w:pPr>
              <w:contextualSpacing/>
              <w:rPr>
                <w:sz w:val="18"/>
                <w:szCs w:val="18"/>
              </w:rPr>
            </w:pPr>
          </w:p>
        </w:tc>
        <w:tc>
          <w:tcPr>
            <w:tcW w:w="4770" w:type="dxa"/>
          </w:tcPr>
          <w:p w:rsidR="00E65EB7" w:rsidRPr="00CA39C2" w:rsidRDefault="00E65EB7" w:rsidP="00F04404">
            <w:pPr>
              <w:contextualSpacing/>
              <w:rPr>
                <w:sz w:val="18"/>
                <w:szCs w:val="18"/>
              </w:rPr>
            </w:pPr>
          </w:p>
        </w:tc>
      </w:tr>
      <w:tr w:rsidR="00CA39C2" w:rsidRPr="00E25667" w:rsidTr="00087517">
        <w:trPr>
          <w:cantSplit/>
        </w:trPr>
        <w:tc>
          <w:tcPr>
            <w:tcW w:w="1907" w:type="dxa"/>
          </w:tcPr>
          <w:p w:rsidR="00E65EB7" w:rsidRPr="00CA39C2" w:rsidRDefault="00E65EB7" w:rsidP="002318C6">
            <w:pPr>
              <w:rPr>
                <w:b/>
                <w:sz w:val="18"/>
                <w:szCs w:val="18"/>
              </w:rPr>
            </w:pPr>
            <w:r w:rsidRPr="00CA39C2">
              <w:rPr>
                <w:b/>
                <w:sz w:val="18"/>
                <w:szCs w:val="18"/>
              </w:rPr>
              <w:t xml:space="preserve">SSATP </w:t>
            </w:r>
            <w:r w:rsidR="004279E8">
              <w:rPr>
                <w:b/>
                <w:sz w:val="18"/>
                <w:szCs w:val="18"/>
              </w:rPr>
              <w:t xml:space="preserve">review </w:t>
            </w:r>
            <w:r w:rsidRPr="00CA39C2">
              <w:rPr>
                <w:b/>
                <w:sz w:val="18"/>
                <w:szCs w:val="18"/>
              </w:rPr>
              <w:t>o</w:t>
            </w:r>
            <w:r w:rsidR="004279E8">
              <w:rPr>
                <w:b/>
                <w:sz w:val="18"/>
                <w:szCs w:val="18"/>
              </w:rPr>
              <w:t>f</w:t>
            </w:r>
            <w:r w:rsidRPr="00CA39C2">
              <w:rPr>
                <w:b/>
                <w:sz w:val="18"/>
                <w:szCs w:val="18"/>
              </w:rPr>
              <w:t xml:space="preserve"> </w:t>
            </w:r>
            <w:r w:rsidR="004279E8">
              <w:rPr>
                <w:b/>
                <w:sz w:val="18"/>
                <w:szCs w:val="18"/>
              </w:rPr>
              <w:t xml:space="preserve">Public-Private Partnerships (PPPs) in the road sector </w:t>
            </w:r>
          </w:p>
          <w:p w:rsidR="00E65EB7" w:rsidRPr="00CA39C2" w:rsidRDefault="00E65EB7" w:rsidP="00F04404">
            <w:pPr>
              <w:contextualSpacing/>
              <w:rPr>
                <w:sz w:val="18"/>
                <w:szCs w:val="18"/>
              </w:rPr>
            </w:pPr>
          </w:p>
        </w:tc>
        <w:tc>
          <w:tcPr>
            <w:tcW w:w="4141" w:type="dxa"/>
          </w:tcPr>
          <w:p w:rsidR="00E65EB7" w:rsidRPr="00CA39C2" w:rsidRDefault="00E65EB7" w:rsidP="002318C6">
            <w:pPr>
              <w:rPr>
                <w:sz w:val="18"/>
                <w:szCs w:val="18"/>
              </w:rPr>
            </w:pPr>
            <w:r w:rsidRPr="00CA39C2">
              <w:rPr>
                <w:sz w:val="18"/>
                <w:szCs w:val="18"/>
              </w:rPr>
              <w:t xml:space="preserve">The </w:t>
            </w:r>
            <w:r w:rsidR="004279E8">
              <w:rPr>
                <w:sz w:val="18"/>
                <w:szCs w:val="18"/>
              </w:rPr>
              <w:t>review</w:t>
            </w:r>
            <w:r w:rsidRPr="00CA39C2">
              <w:rPr>
                <w:sz w:val="18"/>
                <w:szCs w:val="18"/>
              </w:rPr>
              <w:t xml:space="preserve"> consolidate</w:t>
            </w:r>
            <w:r w:rsidR="004279E8">
              <w:rPr>
                <w:sz w:val="18"/>
                <w:szCs w:val="18"/>
              </w:rPr>
              <w:t>s</w:t>
            </w:r>
            <w:r w:rsidRPr="00CA39C2">
              <w:rPr>
                <w:sz w:val="18"/>
                <w:szCs w:val="18"/>
              </w:rPr>
              <w:t xml:space="preserve"> good practices on private sector involvement through PPPs in road financing, provision and management, </w:t>
            </w:r>
            <w:r w:rsidR="004279E8">
              <w:rPr>
                <w:sz w:val="18"/>
                <w:szCs w:val="18"/>
              </w:rPr>
              <w:t>and provides</w:t>
            </w:r>
            <w:r w:rsidRPr="00CA39C2">
              <w:rPr>
                <w:sz w:val="18"/>
                <w:szCs w:val="18"/>
              </w:rPr>
              <w:t xml:space="preserve"> an in-depth understanding of key related issues and principles, including lenders’ perspectives and requirements in support of project finance for road PPPs. This study is a response to stakeholders’ expressed needs for informed policy advice on private sector involvement, and will lead to the development of policy guidance for advocacy.</w:t>
            </w:r>
          </w:p>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540" w:type="dxa"/>
          </w:tcPr>
          <w:p w:rsidR="00E65EB7" w:rsidRPr="00CA39C2" w:rsidRDefault="00E65EB7" w:rsidP="00F04404">
            <w:pPr>
              <w:contextualSpacing/>
              <w:rPr>
                <w:sz w:val="18"/>
                <w:szCs w:val="18"/>
              </w:rPr>
            </w:pPr>
          </w:p>
        </w:tc>
        <w:tc>
          <w:tcPr>
            <w:tcW w:w="4770" w:type="dxa"/>
          </w:tcPr>
          <w:p w:rsidR="00E65EB7" w:rsidRPr="00CA39C2" w:rsidRDefault="00E65EB7" w:rsidP="00F04404">
            <w:pPr>
              <w:contextualSpacing/>
              <w:rPr>
                <w:sz w:val="18"/>
                <w:szCs w:val="18"/>
              </w:rPr>
            </w:pPr>
          </w:p>
        </w:tc>
      </w:tr>
      <w:tr w:rsidR="00CA39C2" w:rsidRPr="00E25667" w:rsidTr="00FB35E7">
        <w:trPr>
          <w:trHeight w:val="2105"/>
        </w:trPr>
        <w:tc>
          <w:tcPr>
            <w:tcW w:w="1907" w:type="dxa"/>
          </w:tcPr>
          <w:p w:rsidR="00E65EB7" w:rsidRPr="00CA39C2" w:rsidRDefault="00E65EB7" w:rsidP="00F04404">
            <w:pPr>
              <w:contextualSpacing/>
              <w:rPr>
                <w:sz w:val="18"/>
                <w:szCs w:val="18"/>
              </w:rPr>
            </w:pPr>
            <w:r w:rsidRPr="00CA39C2">
              <w:rPr>
                <w:b/>
                <w:sz w:val="18"/>
                <w:szCs w:val="18"/>
              </w:rPr>
              <w:lastRenderedPageBreak/>
              <w:t>ASANRA Self-Assessment and Peer-Reviewing</w:t>
            </w:r>
          </w:p>
        </w:tc>
        <w:tc>
          <w:tcPr>
            <w:tcW w:w="4141" w:type="dxa"/>
          </w:tcPr>
          <w:p w:rsidR="00E65EB7" w:rsidRDefault="00FB35E7" w:rsidP="00FB35E7">
            <w:pPr>
              <w:contextualSpacing/>
              <w:rPr>
                <w:sz w:val="18"/>
                <w:szCs w:val="18"/>
              </w:rPr>
            </w:pPr>
            <w:r>
              <w:rPr>
                <w:sz w:val="18"/>
                <w:szCs w:val="18"/>
              </w:rPr>
              <w:t>T</w:t>
            </w:r>
            <w:r w:rsidR="00E65EB7" w:rsidRPr="00CA39C2">
              <w:rPr>
                <w:sz w:val="18"/>
                <w:szCs w:val="18"/>
              </w:rPr>
              <w:t xml:space="preserve">he Association of Southern Africa National Road Agencies (ASANRA) </w:t>
            </w:r>
            <w:r>
              <w:rPr>
                <w:sz w:val="18"/>
                <w:szCs w:val="18"/>
              </w:rPr>
              <w:t xml:space="preserve">is carrying out a </w:t>
            </w:r>
            <w:r w:rsidR="00E65EB7" w:rsidRPr="00CA39C2">
              <w:rPr>
                <w:sz w:val="18"/>
                <w:szCs w:val="18"/>
              </w:rPr>
              <w:t>Peer Review Benchmarking Study of Road Asset Management Practices in the Southern African Development Community (SADC) countries. The objective is to enabl</w:t>
            </w:r>
            <w:r>
              <w:rPr>
                <w:sz w:val="18"/>
                <w:szCs w:val="18"/>
              </w:rPr>
              <w:t>e</w:t>
            </w:r>
            <w:r w:rsidR="00E65EB7" w:rsidRPr="00CA39C2">
              <w:rPr>
                <w:sz w:val="18"/>
                <w:szCs w:val="18"/>
              </w:rPr>
              <w:t xml:space="preserve"> the participating countries to translate results </w:t>
            </w:r>
            <w:r>
              <w:rPr>
                <w:sz w:val="18"/>
                <w:szCs w:val="18"/>
              </w:rPr>
              <w:t>of the peer review into</w:t>
            </w:r>
            <w:r w:rsidR="00E65EB7" w:rsidRPr="00CA39C2">
              <w:rPr>
                <w:sz w:val="18"/>
                <w:szCs w:val="18"/>
              </w:rPr>
              <w:t xml:space="preserve"> strategies and action plans for improving road management and performance monitoring in their countries.</w:t>
            </w:r>
          </w:p>
          <w:p w:rsidR="007A7E2A" w:rsidRPr="00CA39C2" w:rsidRDefault="007A7E2A" w:rsidP="00FB35E7">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540" w:type="dxa"/>
          </w:tcPr>
          <w:p w:rsidR="00E65EB7" w:rsidRPr="00CA39C2" w:rsidRDefault="00E65EB7" w:rsidP="00F04404">
            <w:pPr>
              <w:contextualSpacing/>
              <w:rPr>
                <w:sz w:val="18"/>
                <w:szCs w:val="18"/>
              </w:rPr>
            </w:pPr>
          </w:p>
        </w:tc>
        <w:tc>
          <w:tcPr>
            <w:tcW w:w="4770" w:type="dxa"/>
          </w:tcPr>
          <w:p w:rsidR="00E65EB7" w:rsidRPr="00CA39C2" w:rsidRDefault="00E65EB7" w:rsidP="00F04404">
            <w:pPr>
              <w:contextualSpacing/>
              <w:rPr>
                <w:sz w:val="18"/>
                <w:szCs w:val="18"/>
              </w:rPr>
            </w:pPr>
          </w:p>
        </w:tc>
      </w:tr>
      <w:tr w:rsidR="00CA39C2" w:rsidRPr="00E25667" w:rsidTr="00087517">
        <w:trPr>
          <w:cantSplit/>
        </w:trPr>
        <w:tc>
          <w:tcPr>
            <w:tcW w:w="1907" w:type="dxa"/>
          </w:tcPr>
          <w:p w:rsidR="00E65EB7" w:rsidRPr="00CA39C2" w:rsidRDefault="00E65EB7" w:rsidP="00F04404">
            <w:pPr>
              <w:contextualSpacing/>
              <w:rPr>
                <w:sz w:val="18"/>
                <w:szCs w:val="18"/>
              </w:rPr>
            </w:pPr>
            <w:r w:rsidRPr="00CA39C2">
              <w:rPr>
                <w:b/>
                <w:bCs/>
                <w:sz w:val="18"/>
                <w:szCs w:val="18"/>
              </w:rPr>
              <w:t xml:space="preserve">SSATP work on </w:t>
            </w:r>
            <w:r w:rsidR="00FC01DD">
              <w:rPr>
                <w:b/>
                <w:bCs/>
                <w:sz w:val="18"/>
                <w:szCs w:val="18"/>
              </w:rPr>
              <w:t xml:space="preserve">development of </w:t>
            </w:r>
            <w:r w:rsidRPr="00CA39C2">
              <w:rPr>
                <w:b/>
                <w:bCs/>
                <w:sz w:val="18"/>
                <w:szCs w:val="18"/>
              </w:rPr>
              <w:t>Transport Sector Data Management System</w:t>
            </w:r>
            <w:r w:rsidR="00FC01DD">
              <w:rPr>
                <w:b/>
                <w:bCs/>
                <w:sz w:val="18"/>
                <w:szCs w:val="18"/>
              </w:rPr>
              <w:t>s</w:t>
            </w:r>
            <w:r w:rsidRPr="00CA39C2">
              <w:rPr>
                <w:b/>
                <w:bCs/>
                <w:sz w:val="18"/>
                <w:szCs w:val="18"/>
              </w:rPr>
              <w:br/>
            </w:r>
          </w:p>
        </w:tc>
        <w:tc>
          <w:tcPr>
            <w:tcW w:w="4141" w:type="dxa"/>
          </w:tcPr>
          <w:p w:rsidR="00E65EB7" w:rsidRPr="00CA39C2" w:rsidRDefault="00E65EB7" w:rsidP="002318C6">
            <w:pPr>
              <w:rPr>
                <w:bCs/>
                <w:sz w:val="18"/>
                <w:szCs w:val="18"/>
              </w:rPr>
            </w:pPr>
            <w:r w:rsidRPr="00CA39C2">
              <w:rPr>
                <w:bCs/>
                <w:sz w:val="18"/>
                <w:szCs w:val="18"/>
              </w:rPr>
              <w:t xml:space="preserve">Transport sector data management is at the heart of good sector policy development and measuring policy performance. SSATP carried out detailed institutional assessments of data management systems, policies, procedures and practices in 5 countries that had previously been involved in the Indicator Initiative. This led to a set of recommendations for improvements in each country studied and also provided information to develop the </w:t>
            </w:r>
            <w:r w:rsidRPr="00CA39C2">
              <w:rPr>
                <w:bCs/>
                <w:i/>
                <w:sz w:val="18"/>
                <w:szCs w:val="18"/>
              </w:rPr>
              <w:t>Guidelines for Designing and Establishing Transport Sector Data Management Systems (TSDMS)</w:t>
            </w:r>
            <w:r w:rsidRPr="00CA39C2">
              <w:rPr>
                <w:bCs/>
                <w:sz w:val="18"/>
                <w:szCs w:val="18"/>
              </w:rPr>
              <w:t>, which manage transport data and indicators in order to feed them back to policy-makers for monitoring and development of the transport sector.</w:t>
            </w:r>
          </w:p>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540" w:type="dxa"/>
          </w:tcPr>
          <w:p w:rsidR="00E65EB7" w:rsidRPr="00CA39C2" w:rsidRDefault="00E65EB7" w:rsidP="00F04404">
            <w:pPr>
              <w:contextualSpacing/>
              <w:rPr>
                <w:sz w:val="18"/>
                <w:szCs w:val="18"/>
              </w:rPr>
            </w:pPr>
          </w:p>
        </w:tc>
        <w:tc>
          <w:tcPr>
            <w:tcW w:w="4770" w:type="dxa"/>
          </w:tcPr>
          <w:p w:rsidR="00E65EB7" w:rsidRPr="00CA39C2" w:rsidRDefault="00E65EB7" w:rsidP="00F04404">
            <w:pPr>
              <w:contextualSpacing/>
              <w:rPr>
                <w:sz w:val="18"/>
                <w:szCs w:val="18"/>
              </w:rPr>
            </w:pPr>
          </w:p>
        </w:tc>
      </w:tr>
      <w:tr w:rsidR="00CA39C2" w:rsidRPr="00E25667" w:rsidTr="00087517">
        <w:trPr>
          <w:cantSplit/>
        </w:trPr>
        <w:tc>
          <w:tcPr>
            <w:tcW w:w="1907" w:type="dxa"/>
          </w:tcPr>
          <w:p w:rsidR="00E65EB7" w:rsidRPr="00CA39C2" w:rsidRDefault="00FC01DD" w:rsidP="00F04404">
            <w:pPr>
              <w:contextualSpacing/>
              <w:rPr>
                <w:sz w:val="18"/>
                <w:szCs w:val="18"/>
              </w:rPr>
            </w:pPr>
            <w:r>
              <w:rPr>
                <w:b/>
                <w:sz w:val="18"/>
                <w:szCs w:val="18"/>
              </w:rPr>
              <w:t>SSATP</w:t>
            </w:r>
            <w:r w:rsidR="00E65EB7" w:rsidRPr="00CA39C2">
              <w:rPr>
                <w:b/>
                <w:sz w:val="18"/>
                <w:szCs w:val="18"/>
              </w:rPr>
              <w:t xml:space="preserve"> study on Promoting the Adoption of Good Policies and Practices on Rural Transport in Sub-Saharan Africa</w:t>
            </w:r>
          </w:p>
        </w:tc>
        <w:tc>
          <w:tcPr>
            <w:tcW w:w="4141" w:type="dxa"/>
          </w:tcPr>
          <w:p w:rsidR="00E65EB7" w:rsidRDefault="00E65EB7" w:rsidP="00FC01DD">
            <w:pPr>
              <w:contextualSpacing/>
              <w:rPr>
                <w:sz w:val="18"/>
                <w:szCs w:val="18"/>
              </w:rPr>
            </w:pPr>
            <w:r w:rsidRPr="00CA39C2">
              <w:rPr>
                <w:sz w:val="18"/>
                <w:szCs w:val="18"/>
              </w:rPr>
              <w:t>The study promote</w:t>
            </w:r>
            <w:r w:rsidR="00FC01DD">
              <w:rPr>
                <w:sz w:val="18"/>
                <w:szCs w:val="18"/>
              </w:rPr>
              <w:t>s</w:t>
            </w:r>
            <w:r w:rsidRPr="00CA39C2">
              <w:rPr>
                <w:sz w:val="18"/>
                <w:szCs w:val="18"/>
              </w:rPr>
              <w:t xml:space="preserve"> the introduction of good policies, strategies and operational practices for rural transport. The </w:t>
            </w:r>
            <w:r w:rsidR="00FC01DD">
              <w:rPr>
                <w:sz w:val="18"/>
                <w:szCs w:val="18"/>
              </w:rPr>
              <w:t>two</w:t>
            </w:r>
            <w:r w:rsidRPr="00CA39C2">
              <w:rPr>
                <w:sz w:val="18"/>
                <w:szCs w:val="18"/>
              </w:rPr>
              <w:t xml:space="preserve"> main tasks consisted </w:t>
            </w:r>
            <w:r w:rsidR="00FC01DD">
              <w:rPr>
                <w:sz w:val="18"/>
                <w:szCs w:val="18"/>
              </w:rPr>
              <w:t>in</w:t>
            </w:r>
            <w:r w:rsidRPr="00CA39C2">
              <w:rPr>
                <w:sz w:val="18"/>
                <w:szCs w:val="18"/>
              </w:rPr>
              <w:t xml:space="preserve">: updating the Rural Transport Training Materials (RTTM) and developing a Capacity Building Strategy; pilot application of </w:t>
            </w:r>
            <w:r w:rsidRPr="00CA39C2">
              <w:rPr>
                <w:sz w:val="18"/>
                <w:szCs w:val="18"/>
                <w:lang w:eastAsia="en-AU"/>
              </w:rPr>
              <w:t xml:space="preserve">SSATP Working Paper No. 93 </w:t>
            </w:r>
            <w:r w:rsidRPr="00CA39C2">
              <w:rPr>
                <w:i/>
                <w:sz w:val="18"/>
                <w:szCs w:val="18"/>
                <w:lang w:eastAsia="en-AU"/>
              </w:rPr>
              <w:t>Rural Transport: Improving its Contribution to Rural Growth and Poverty Reduction in Sub-Saharan Africa</w:t>
            </w:r>
            <w:r w:rsidRPr="00CA39C2">
              <w:rPr>
                <w:sz w:val="18"/>
                <w:szCs w:val="18"/>
                <w:lang w:eastAsia="en-AU"/>
              </w:rPr>
              <w:t xml:space="preserve"> </w:t>
            </w:r>
            <w:r w:rsidRPr="00CA39C2">
              <w:rPr>
                <w:sz w:val="18"/>
                <w:szCs w:val="18"/>
              </w:rPr>
              <w:t>in two countries in Sub-Saharan Africa (Uganda and Nigeria)</w:t>
            </w:r>
          </w:p>
          <w:p w:rsidR="007A7E2A" w:rsidRPr="00CA39C2" w:rsidRDefault="007A7E2A" w:rsidP="00FC01DD">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450" w:type="dxa"/>
          </w:tcPr>
          <w:p w:rsidR="00E65EB7" w:rsidRPr="00CA39C2" w:rsidRDefault="00E65EB7" w:rsidP="00F04404">
            <w:pPr>
              <w:contextualSpacing/>
              <w:rPr>
                <w:sz w:val="18"/>
                <w:szCs w:val="18"/>
              </w:rPr>
            </w:pPr>
          </w:p>
        </w:tc>
        <w:tc>
          <w:tcPr>
            <w:tcW w:w="540" w:type="dxa"/>
          </w:tcPr>
          <w:p w:rsidR="00E65EB7" w:rsidRPr="00CA39C2" w:rsidRDefault="00E65EB7" w:rsidP="00F04404">
            <w:pPr>
              <w:contextualSpacing/>
              <w:rPr>
                <w:sz w:val="18"/>
                <w:szCs w:val="18"/>
              </w:rPr>
            </w:pPr>
          </w:p>
        </w:tc>
        <w:tc>
          <w:tcPr>
            <w:tcW w:w="4770" w:type="dxa"/>
          </w:tcPr>
          <w:p w:rsidR="00E65EB7" w:rsidRPr="00CA39C2" w:rsidRDefault="00E65EB7" w:rsidP="00F04404">
            <w:pPr>
              <w:contextualSpacing/>
              <w:rPr>
                <w:sz w:val="18"/>
                <w:szCs w:val="18"/>
              </w:rPr>
            </w:pPr>
          </w:p>
        </w:tc>
      </w:tr>
    </w:tbl>
    <w:p w:rsidR="006446AD" w:rsidRDefault="006446AD">
      <w:r>
        <w:br w:type="page"/>
      </w:r>
    </w:p>
    <w:tbl>
      <w:tblPr>
        <w:tblStyle w:val="TableGrid"/>
        <w:tblW w:w="0" w:type="auto"/>
        <w:tblLayout w:type="fixed"/>
        <w:tblLook w:val="04A0" w:firstRow="1" w:lastRow="0" w:firstColumn="1" w:lastColumn="0" w:noHBand="0" w:noVBand="1"/>
      </w:tblPr>
      <w:tblGrid>
        <w:gridCol w:w="1907"/>
        <w:gridCol w:w="4141"/>
        <w:gridCol w:w="450"/>
        <w:gridCol w:w="450"/>
        <w:gridCol w:w="450"/>
        <w:gridCol w:w="450"/>
        <w:gridCol w:w="540"/>
        <w:gridCol w:w="4770"/>
      </w:tblGrid>
      <w:tr w:rsidR="006446AD" w:rsidRPr="00763052" w:rsidTr="007A7E2A">
        <w:trPr>
          <w:tblHeader/>
        </w:trPr>
        <w:tc>
          <w:tcPr>
            <w:tcW w:w="1907" w:type="dxa"/>
            <w:vMerge w:val="restart"/>
            <w:shd w:val="clear" w:color="auto" w:fill="E5DFEC" w:themeFill="accent4" w:themeFillTint="33"/>
            <w:vAlign w:val="center"/>
          </w:tcPr>
          <w:p w:rsidR="006446AD" w:rsidRPr="00763052" w:rsidRDefault="006446AD" w:rsidP="00A97A86">
            <w:pPr>
              <w:contextualSpacing/>
              <w:jc w:val="center"/>
              <w:rPr>
                <w:b/>
                <w:i/>
                <w:sz w:val="18"/>
                <w:szCs w:val="18"/>
              </w:rPr>
            </w:pPr>
            <w:r w:rsidRPr="00763052">
              <w:rPr>
                <w:b/>
                <w:i/>
                <w:sz w:val="18"/>
                <w:szCs w:val="18"/>
              </w:rPr>
              <w:lastRenderedPageBreak/>
              <w:t>Title of the session</w:t>
            </w:r>
          </w:p>
        </w:tc>
        <w:tc>
          <w:tcPr>
            <w:tcW w:w="4141" w:type="dxa"/>
            <w:vMerge w:val="restart"/>
            <w:shd w:val="clear" w:color="auto" w:fill="E5DFEC" w:themeFill="accent4" w:themeFillTint="33"/>
            <w:vAlign w:val="center"/>
          </w:tcPr>
          <w:p w:rsidR="006446AD" w:rsidRPr="00763052" w:rsidRDefault="006446AD" w:rsidP="00A97A86">
            <w:pPr>
              <w:contextualSpacing/>
              <w:jc w:val="center"/>
              <w:rPr>
                <w:b/>
                <w:i/>
                <w:sz w:val="18"/>
                <w:szCs w:val="18"/>
              </w:rPr>
            </w:pPr>
            <w:r w:rsidRPr="00763052">
              <w:rPr>
                <w:b/>
                <w:i/>
                <w:sz w:val="18"/>
                <w:szCs w:val="18"/>
              </w:rPr>
              <w:t>Description</w:t>
            </w:r>
          </w:p>
        </w:tc>
        <w:tc>
          <w:tcPr>
            <w:tcW w:w="2340" w:type="dxa"/>
            <w:gridSpan w:val="5"/>
            <w:shd w:val="clear" w:color="auto" w:fill="E5DFEC" w:themeFill="accent4" w:themeFillTint="33"/>
            <w:vAlign w:val="center"/>
          </w:tcPr>
          <w:p w:rsidR="006446AD" w:rsidRPr="00763052" w:rsidRDefault="006446AD" w:rsidP="00A97A86">
            <w:pPr>
              <w:contextualSpacing/>
              <w:jc w:val="center"/>
              <w:rPr>
                <w:b/>
                <w:i/>
                <w:sz w:val="18"/>
                <w:szCs w:val="18"/>
              </w:rPr>
            </w:pPr>
            <w:r w:rsidRPr="00763052">
              <w:rPr>
                <w:b/>
                <w:i/>
                <w:sz w:val="18"/>
                <w:szCs w:val="18"/>
              </w:rPr>
              <w:t>How would you rank the session? (Importance/ Relevance of</w:t>
            </w:r>
          </w:p>
          <w:p w:rsidR="006446AD" w:rsidRPr="00763052" w:rsidRDefault="006446AD" w:rsidP="00A97A86">
            <w:pPr>
              <w:contextualSpacing/>
              <w:jc w:val="center"/>
              <w:rPr>
                <w:b/>
                <w:i/>
                <w:sz w:val="18"/>
                <w:szCs w:val="18"/>
              </w:rPr>
            </w:pPr>
            <w:r w:rsidRPr="00763052">
              <w:rPr>
                <w:b/>
                <w:i/>
                <w:sz w:val="18"/>
                <w:szCs w:val="18"/>
              </w:rPr>
              <w:t>the topic)</w:t>
            </w:r>
          </w:p>
        </w:tc>
        <w:tc>
          <w:tcPr>
            <w:tcW w:w="4770" w:type="dxa"/>
            <w:vMerge w:val="restart"/>
            <w:shd w:val="clear" w:color="auto" w:fill="E5DFEC" w:themeFill="accent4" w:themeFillTint="33"/>
            <w:vAlign w:val="center"/>
          </w:tcPr>
          <w:p w:rsidR="006446AD" w:rsidRPr="00763052" w:rsidRDefault="006446AD" w:rsidP="00A97A86">
            <w:pPr>
              <w:contextualSpacing/>
              <w:jc w:val="center"/>
              <w:rPr>
                <w:b/>
                <w:i/>
                <w:sz w:val="18"/>
                <w:szCs w:val="18"/>
              </w:rPr>
            </w:pPr>
            <w:r w:rsidRPr="00763052">
              <w:rPr>
                <w:b/>
                <w:i/>
                <w:sz w:val="18"/>
                <w:szCs w:val="18"/>
              </w:rPr>
              <w:t>Additional comments</w:t>
            </w:r>
          </w:p>
        </w:tc>
      </w:tr>
      <w:tr w:rsidR="006446AD" w:rsidTr="007A7E2A">
        <w:trPr>
          <w:trHeight w:val="179"/>
          <w:tblHeader/>
        </w:trPr>
        <w:tc>
          <w:tcPr>
            <w:tcW w:w="1907" w:type="dxa"/>
            <w:vMerge/>
          </w:tcPr>
          <w:p w:rsidR="006446AD" w:rsidRPr="00E25667" w:rsidRDefault="006446AD" w:rsidP="00A97A86">
            <w:pPr>
              <w:contextualSpacing/>
            </w:pPr>
          </w:p>
        </w:tc>
        <w:tc>
          <w:tcPr>
            <w:tcW w:w="4141" w:type="dxa"/>
            <w:vMerge/>
          </w:tcPr>
          <w:p w:rsidR="006446AD" w:rsidRPr="00E25667" w:rsidRDefault="006446AD" w:rsidP="00A97A86">
            <w:pPr>
              <w:contextualSpacing/>
            </w:pPr>
          </w:p>
        </w:tc>
        <w:tc>
          <w:tcPr>
            <w:tcW w:w="450" w:type="dxa"/>
            <w:shd w:val="clear" w:color="auto" w:fill="E5DFEC" w:themeFill="accent4" w:themeFillTint="33"/>
          </w:tcPr>
          <w:p w:rsidR="006446AD" w:rsidRPr="00CA39C2" w:rsidRDefault="006446AD" w:rsidP="00A97A86">
            <w:pPr>
              <w:contextualSpacing/>
              <w:rPr>
                <w:b/>
                <w:sz w:val="18"/>
                <w:szCs w:val="18"/>
              </w:rPr>
            </w:pPr>
            <w:r w:rsidRPr="00CA39C2">
              <w:rPr>
                <w:b/>
                <w:sz w:val="18"/>
                <w:szCs w:val="18"/>
              </w:rPr>
              <w:t>0</w:t>
            </w:r>
          </w:p>
        </w:tc>
        <w:tc>
          <w:tcPr>
            <w:tcW w:w="450" w:type="dxa"/>
            <w:shd w:val="clear" w:color="auto" w:fill="E5DFEC" w:themeFill="accent4" w:themeFillTint="33"/>
          </w:tcPr>
          <w:p w:rsidR="006446AD" w:rsidRPr="00CA39C2" w:rsidRDefault="006446AD" w:rsidP="00A97A86">
            <w:pPr>
              <w:contextualSpacing/>
              <w:rPr>
                <w:b/>
                <w:sz w:val="18"/>
                <w:szCs w:val="18"/>
              </w:rPr>
            </w:pPr>
            <w:r w:rsidRPr="00CA39C2">
              <w:rPr>
                <w:b/>
                <w:sz w:val="18"/>
                <w:szCs w:val="18"/>
              </w:rPr>
              <w:t>1</w:t>
            </w:r>
          </w:p>
        </w:tc>
        <w:tc>
          <w:tcPr>
            <w:tcW w:w="450" w:type="dxa"/>
            <w:shd w:val="clear" w:color="auto" w:fill="E5DFEC" w:themeFill="accent4" w:themeFillTint="33"/>
          </w:tcPr>
          <w:p w:rsidR="006446AD" w:rsidRPr="00CA39C2" w:rsidRDefault="006446AD" w:rsidP="00A97A86">
            <w:pPr>
              <w:contextualSpacing/>
              <w:rPr>
                <w:b/>
                <w:sz w:val="18"/>
                <w:szCs w:val="18"/>
              </w:rPr>
            </w:pPr>
            <w:r w:rsidRPr="00CA39C2">
              <w:rPr>
                <w:b/>
                <w:sz w:val="18"/>
                <w:szCs w:val="18"/>
              </w:rPr>
              <w:t>2</w:t>
            </w:r>
          </w:p>
        </w:tc>
        <w:tc>
          <w:tcPr>
            <w:tcW w:w="450" w:type="dxa"/>
            <w:shd w:val="clear" w:color="auto" w:fill="E5DFEC" w:themeFill="accent4" w:themeFillTint="33"/>
          </w:tcPr>
          <w:p w:rsidR="006446AD" w:rsidRPr="00CA39C2" w:rsidRDefault="006446AD" w:rsidP="00A97A86">
            <w:pPr>
              <w:contextualSpacing/>
              <w:rPr>
                <w:b/>
                <w:sz w:val="18"/>
                <w:szCs w:val="18"/>
              </w:rPr>
            </w:pPr>
            <w:r w:rsidRPr="00CA39C2">
              <w:rPr>
                <w:b/>
                <w:sz w:val="18"/>
                <w:szCs w:val="18"/>
              </w:rPr>
              <w:t>3</w:t>
            </w:r>
          </w:p>
        </w:tc>
        <w:tc>
          <w:tcPr>
            <w:tcW w:w="540" w:type="dxa"/>
            <w:shd w:val="clear" w:color="auto" w:fill="E5DFEC" w:themeFill="accent4" w:themeFillTint="33"/>
          </w:tcPr>
          <w:p w:rsidR="006446AD" w:rsidRPr="00CA39C2" w:rsidRDefault="006446AD" w:rsidP="00A97A86">
            <w:pPr>
              <w:contextualSpacing/>
              <w:rPr>
                <w:b/>
                <w:sz w:val="18"/>
                <w:szCs w:val="18"/>
              </w:rPr>
            </w:pPr>
            <w:r w:rsidRPr="00CA39C2">
              <w:rPr>
                <w:b/>
                <w:sz w:val="18"/>
                <w:szCs w:val="18"/>
              </w:rPr>
              <w:t>4</w:t>
            </w:r>
          </w:p>
        </w:tc>
        <w:tc>
          <w:tcPr>
            <w:tcW w:w="4770" w:type="dxa"/>
            <w:vMerge/>
          </w:tcPr>
          <w:p w:rsidR="006446AD" w:rsidRDefault="006446AD" w:rsidP="00A97A86">
            <w:pPr>
              <w:contextualSpacing/>
            </w:pPr>
          </w:p>
        </w:tc>
      </w:tr>
      <w:tr w:rsidR="007A7E2A" w:rsidRPr="00E25667" w:rsidTr="00087517">
        <w:tc>
          <w:tcPr>
            <w:tcW w:w="1907" w:type="dxa"/>
            <w:vMerge w:val="restart"/>
          </w:tcPr>
          <w:p w:rsidR="007A7E2A" w:rsidRPr="00CA39C2" w:rsidRDefault="007A7E2A" w:rsidP="00F04404">
            <w:pPr>
              <w:contextualSpacing/>
              <w:rPr>
                <w:sz w:val="18"/>
                <w:szCs w:val="18"/>
              </w:rPr>
            </w:pPr>
            <w:r w:rsidRPr="00CA39C2">
              <w:rPr>
                <w:b/>
                <w:sz w:val="18"/>
                <w:szCs w:val="18"/>
              </w:rPr>
              <w:t>Rail Transport in Africa</w:t>
            </w:r>
          </w:p>
        </w:tc>
        <w:tc>
          <w:tcPr>
            <w:tcW w:w="11251" w:type="dxa"/>
            <w:gridSpan w:val="7"/>
          </w:tcPr>
          <w:p w:rsidR="007A7E2A" w:rsidRPr="00CA39C2" w:rsidRDefault="007A7E2A" w:rsidP="00ED2ECD">
            <w:pPr>
              <w:ind w:hanging="18"/>
              <w:contextualSpacing/>
              <w:rPr>
                <w:i/>
                <w:sz w:val="18"/>
                <w:szCs w:val="18"/>
              </w:rPr>
            </w:pPr>
            <w:r w:rsidRPr="00CA39C2">
              <w:rPr>
                <w:i/>
                <w:sz w:val="18"/>
                <w:szCs w:val="18"/>
              </w:rPr>
              <w:t>2 resources:</w:t>
            </w:r>
          </w:p>
        </w:tc>
      </w:tr>
      <w:tr w:rsidR="00B27AF1" w:rsidRPr="00E25667" w:rsidTr="00087517">
        <w:tc>
          <w:tcPr>
            <w:tcW w:w="1907" w:type="dxa"/>
            <w:vMerge/>
          </w:tcPr>
          <w:p w:rsidR="00B27AF1" w:rsidRPr="00CA39C2" w:rsidRDefault="00B27AF1" w:rsidP="00F04404">
            <w:pPr>
              <w:contextualSpacing/>
              <w:rPr>
                <w:sz w:val="18"/>
                <w:szCs w:val="18"/>
              </w:rPr>
            </w:pPr>
          </w:p>
        </w:tc>
        <w:tc>
          <w:tcPr>
            <w:tcW w:w="4141" w:type="dxa"/>
          </w:tcPr>
          <w:p w:rsidR="00B27AF1" w:rsidRDefault="00B27AF1" w:rsidP="00B27AF1">
            <w:pPr>
              <w:pStyle w:val="ListParagraph"/>
              <w:numPr>
                <w:ilvl w:val="0"/>
                <w:numId w:val="10"/>
              </w:numPr>
              <w:ind w:left="343" w:hanging="343"/>
              <w:rPr>
                <w:sz w:val="18"/>
                <w:szCs w:val="18"/>
              </w:rPr>
            </w:pPr>
            <w:r w:rsidRPr="00E16109">
              <w:rPr>
                <w:sz w:val="18"/>
                <w:szCs w:val="18"/>
              </w:rPr>
              <w:t>SSATP Working Paper 94 on Rail Transport: assess the state of the railway sector in Africa and provide a framework for improving railway sector performance in sub-Saharan Africa</w:t>
            </w:r>
            <w:r>
              <w:rPr>
                <w:sz w:val="18"/>
                <w:szCs w:val="18"/>
              </w:rPr>
              <w:t>.</w:t>
            </w:r>
          </w:p>
          <w:p w:rsidR="00B27AF1" w:rsidRPr="00B27AF1" w:rsidRDefault="00B27AF1" w:rsidP="00B27AF1">
            <w:pPr>
              <w:pStyle w:val="ListParagraph"/>
              <w:ind w:left="343"/>
              <w:rPr>
                <w:sz w:val="18"/>
                <w:szCs w:val="18"/>
              </w:rPr>
            </w:pPr>
          </w:p>
        </w:tc>
        <w:tc>
          <w:tcPr>
            <w:tcW w:w="450" w:type="dxa"/>
          </w:tcPr>
          <w:p w:rsidR="00B27AF1" w:rsidRPr="00E25667" w:rsidRDefault="00B27AF1" w:rsidP="00F04404">
            <w:pPr>
              <w:contextualSpacing/>
            </w:pPr>
          </w:p>
        </w:tc>
        <w:tc>
          <w:tcPr>
            <w:tcW w:w="450" w:type="dxa"/>
          </w:tcPr>
          <w:p w:rsidR="00B27AF1" w:rsidRPr="00E25667" w:rsidRDefault="00B27AF1" w:rsidP="00F04404">
            <w:pPr>
              <w:contextualSpacing/>
            </w:pPr>
          </w:p>
        </w:tc>
        <w:tc>
          <w:tcPr>
            <w:tcW w:w="450" w:type="dxa"/>
          </w:tcPr>
          <w:p w:rsidR="00B27AF1" w:rsidRPr="00E25667" w:rsidRDefault="00B27AF1" w:rsidP="00F04404">
            <w:pPr>
              <w:contextualSpacing/>
            </w:pPr>
          </w:p>
        </w:tc>
        <w:tc>
          <w:tcPr>
            <w:tcW w:w="450" w:type="dxa"/>
          </w:tcPr>
          <w:p w:rsidR="00B27AF1" w:rsidRPr="00E25667" w:rsidRDefault="00B27AF1" w:rsidP="00F04404">
            <w:pPr>
              <w:contextualSpacing/>
            </w:pPr>
          </w:p>
        </w:tc>
        <w:tc>
          <w:tcPr>
            <w:tcW w:w="540" w:type="dxa"/>
          </w:tcPr>
          <w:p w:rsidR="00B27AF1" w:rsidRPr="00E25667" w:rsidRDefault="00B27AF1" w:rsidP="00F04404">
            <w:pPr>
              <w:contextualSpacing/>
            </w:pPr>
          </w:p>
        </w:tc>
        <w:tc>
          <w:tcPr>
            <w:tcW w:w="4770" w:type="dxa"/>
          </w:tcPr>
          <w:p w:rsidR="00B27AF1" w:rsidRPr="00E25667" w:rsidRDefault="00B27AF1" w:rsidP="00F04404">
            <w:pPr>
              <w:contextualSpacing/>
            </w:pPr>
          </w:p>
        </w:tc>
      </w:tr>
      <w:tr w:rsidR="007A7E2A" w:rsidRPr="00E25667" w:rsidTr="00087517">
        <w:tc>
          <w:tcPr>
            <w:tcW w:w="1907" w:type="dxa"/>
            <w:vMerge/>
          </w:tcPr>
          <w:p w:rsidR="007A7E2A" w:rsidRPr="00CA39C2" w:rsidRDefault="007A7E2A" w:rsidP="00F04404">
            <w:pPr>
              <w:contextualSpacing/>
              <w:rPr>
                <w:sz w:val="18"/>
                <w:szCs w:val="18"/>
              </w:rPr>
            </w:pPr>
          </w:p>
        </w:tc>
        <w:tc>
          <w:tcPr>
            <w:tcW w:w="4141" w:type="dxa"/>
          </w:tcPr>
          <w:p w:rsidR="007A7E2A" w:rsidRPr="00E16109" w:rsidRDefault="007A7E2A" w:rsidP="00E16109">
            <w:pPr>
              <w:pStyle w:val="ListParagraph"/>
              <w:numPr>
                <w:ilvl w:val="0"/>
                <w:numId w:val="10"/>
              </w:numPr>
              <w:ind w:left="343"/>
              <w:rPr>
                <w:sz w:val="18"/>
                <w:szCs w:val="18"/>
              </w:rPr>
            </w:pPr>
            <w:r w:rsidRPr="00E16109">
              <w:rPr>
                <w:sz w:val="18"/>
                <w:szCs w:val="18"/>
              </w:rPr>
              <w:t>Railways in Sub-Saharan Africa: An effective regional integration tool?</w:t>
            </w:r>
          </w:p>
          <w:p w:rsidR="007A7E2A" w:rsidRPr="00CA39C2" w:rsidRDefault="007A7E2A" w:rsidP="00087517">
            <w:pPr>
              <w:contextualSpacing/>
              <w:rPr>
                <w:sz w:val="18"/>
                <w:szCs w:val="18"/>
              </w:rPr>
            </w:pPr>
          </w:p>
        </w:tc>
        <w:tc>
          <w:tcPr>
            <w:tcW w:w="450" w:type="dxa"/>
          </w:tcPr>
          <w:p w:rsidR="007A7E2A" w:rsidRPr="00E25667" w:rsidRDefault="007A7E2A" w:rsidP="00F04404">
            <w:pPr>
              <w:contextualSpacing/>
            </w:pPr>
          </w:p>
        </w:tc>
        <w:tc>
          <w:tcPr>
            <w:tcW w:w="450" w:type="dxa"/>
          </w:tcPr>
          <w:p w:rsidR="007A7E2A" w:rsidRPr="00E25667" w:rsidRDefault="007A7E2A" w:rsidP="00F04404">
            <w:pPr>
              <w:contextualSpacing/>
            </w:pPr>
          </w:p>
        </w:tc>
        <w:tc>
          <w:tcPr>
            <w:tcW w:w="450" w:type="dxa"/>
          </w:tcPr>
          <w:p w:rsidR="007A7E2A" w:rsidRPr="00E25667" w:rsidRDefault="007A7E2A" w:rsidP="00F04404">
            <w:pPr>
              <w:contextualSpacing/>
            </w:pPr>
          </w:p>
        </w:tc>
        <w:tc>
          <w:tcPr>
            <w:tcW w:w="450" w:type="dxa"/>
          </w:tcPr>
          <w:p w:rsidR="007A7E2A" w:rsidRPr="00E25667" w:rsidRDefault="007A7E2A" w:rsidP="00F04404">
            <w:pPr>
              <w:contextualSpacing/>
            </w:pPr>
          </w:p>
        </w:tc>
        <w:tc>
          <w:tcPr>
            <w:tcW w:w="540" w:type="dxa"/>
          </w:tcPr>
          <w:p w:rsidR="007A7E2A" w:rsidRPr="00E25667" w:rsidRDefault="007A7E2A" w:rsidP="00F04404">
            <w:pPr>
              <w:contextualSpacing/>
            </w:pPr>
          </w:p>
        </w:tc>
        <w:tc>
          <w:tcPr>
            <w:tcW w:w="4770" w:type="dxa"/>
          </w:tcPr>
          <w:p w:rsidR="007A7E2A" w:rsidRPr="00E25667" w:rsidRDefault="007A7E2A" w:rsidP="00F04404">
            <w:pPr>
              <w:contextualSpacing/>
            </w:pPr>
          </w:p>
        </w:tc>
      </w:tr>
      <w:tr w:rsidR="00CA39C2" w:rsidRPr="00E25667" w:rsidTr="00087517">
        <w:tc>
          <w:tcPr>
            <w:tcW w:w="1907" w:type="dxa"/>
          </w:tcPr>
          <w:p w:rsidR="0022359D" w:rsidRPr="00CA39C2" w:rsidRDefault="0022359D" w:rsidP="00F04404">
            <w:pPr>
              <w:contextualSpacing/>
              <w:rPr>
                <w:sz w:val="18"/>
                <w:szCs w:val="18"/>
              </w:rPr>
            </w:pPr>
            <w:r w:rsidRPr="00CA39C2">
              <w:rPr>
                <w:b/>
                <w:sz w:val="18"/>
                <w:szCs w:val="18"/>
              </w:rPr>
              <w:t>Implementation of the Government of Uganda’s Gender Equality Policy Commitments in the Road Sub Sector</w:t>
            </w:r>
          </w:p>
        </w:tc>
        <w:tc>
          <w:tcPr>
            <w:tcW w:w="4141" w:type="dxa"/>
          </w:tcPr>
          <w:p w:rsidR="0022359D" w:rsidRDefault="0022359D" w:rsidP="003B5B72">
            <w:pPr>
              <w:contextualSpacing/>
              <w:rPr>
                <w:sz w:val="18"/>
                <w:szCs w:val="18"/>
              </w:rPr>
            </w:pPr>
            <w:r w:rsidRPr="00CA39C2">
              <w:rPr>
                <w:sz w:val="18"/>
                <w:szCs w:val="18"/>
              </w:rPr>
              <w:t>Th</w:t>
            </w:r>
            <w:r w:rsidR="003B5B72">
              <w:rPr>
                <w:sz w:val="18"/>
                <w:szCs w:val="18"/>
              </w:rPr>
              <w:t>is activity</w:t>
            </w:r>
            <w:r w:rsidRPr="00CA39C2">
              <w:rPr>
                <w:sz w:val="18"/>
                <w:szCs w:val="18"/>
              </w:rPr>
              <w:t xml:space="preserve"> review</w:t>
            </w:r>
            <w:r w:rsidR="003B5B72">
              <w:rPr>
                <w:sz w:val="18"/>
                <w:szCs w:val="18"/>
              </w:rPr>
              <w:t>ed</w:t>
            </w:r>
            <w:r w:rsidRPr="00CA39C2">
              <w:rPr>
                <w:sz w:val="18"/>
                <w:szCs w:val="18"/>
              </w:rPr>
              <w:t xml:space="preserve"> the experience of the road sub sector in mainstreaming gender by assessing the extent to which it has been addressed in transport sector policy formulation, planning, budgeting, implementation, </w:t>
            </w:r>
            <w:proofErr w:type="gramStart"/>
            <w:r w:rsidRPr="00CA39C2">
              <w:rPr>
                <w:sz w:val="18"/>
                <w:szCs w:val="18"/>
              </w:rPr>
              <w:t>performance</w:t>
            </w:r>
            <w:proofErr w:type="gramEnd"/>
            <w:r w:rsidRPr="00CA39C2">
              <w:rPr>
                <w:sz w:val="18"/>
                <w:szCs w:val="18"/>
              </w:rPr>
              <w:t xml:space="preserve"> monitoring and impact evaluation. The goal is also to document lessons learned, including opportunities and constraints, as well as good practices in promoting gender equality and women’s empowerment in the road sub sector.</w:t>
            </w:r>
          </w:p>
          <w:p w:rsidR="007A7E2A" w:rsidRPr="00CA39C2" w:rsidRDefault="007A7E2A" w:rsidP="003B5B72">
            <w:pPr>
              <w:contextualSpacing/>
              <w:rPr>
                <w:sz w:val="18"/>
                <w:szCs w:val="18"/>
              </w:rPr>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540" w:type="dxa"/>
          </w:tcPr>
          <w:p w:rsidR="0022359D" w:rsidRPr="00E25667" w:rsidRDefault="0022359D" w:rsidP="00F04404">
            <w:pPr>
              <w:contextualSpacing/>
            </w:pPr>
          </w:p>
        </w:tc>
        <w:tc>
          <w:tcPr>
            <w:tcW w:w="4770" w:type="dxa"/>
          </w:tcPr>
          <w:p w:rsidR="0022359D" w:rsidRPr="00E25667" w:rsidRDefault="0022359D" w:rsidP="00F04404">
            <w:pPr>
              <w:contextualSpacing/>
            </w:pPr>
          </w:p>
        </w:tc>
      </w:tr>
      <w:tr w:rsidR="00CA39C2" w:rsidRPr="00E25667" w:rsidTr="00087517">
        <w:trPr>
          <w:cantSplit/>
        </w:trPr>
        <w:tc>
          <w:tcPr>
            <w:tcW w:w="1907" w:type="dxa"/>
          </w:tcPr>
          <w:p w:rsidR="0022359D" w:rsidRPr="00CA39C2" w:rsidRDefault="0022359D" w:rsidP="00F04404">
            <w:pPr>
              <w:contextualSpacing/>
              <w:rPr>
                <w:sz w:val="18"/>
                <w:szCs w:val="18"/>
              </w:rPr>
            </w:pPr>
            <w:r w:rsidRPr="00CA39C2">
              <w:rPr>
                <w:b/>
                <w:sz w:val="18"/>
                <w:szCs w:val="18"/>
              </w:rPr>
              <w:t>Corridor Transport Observatories Guidelines</w:t>
            </w:r>
          </w:p>
        </w:tc>
        <w:tc>
          <w:tcPr>
            <w:tcW w:w="4141" w:type="dxa"/>
          </w:tcPr>
          <w:p w:rsidR="0022359D" w:rsidRDefault="0022359D" w:rsidP="003B5B72">
            <w:pPr>
              <w:contextualSpacing/>
              <w:rPr>
                <w:sz w:val="18"/>
                <w:szCs w:val="18"/>
              </w:rPr>
            </w:pPr>
            <w:r w:rsidRPr="00CA39C2">
              <w:rPr>
                <w:sz w:val="18"/>
                <w:szCs w:val="18"/>
              </w:rPr>
              <w:t xml:space="preserve">Corridor Transport Observatories provide mechanisms for generating evidence-based information about corridor performance through core indicators. These guidelines provide a framework for corridor performance monitoring and review several methods to collect the required data. </w:t>
            </w:r>
          </w:p>
          <w:p w:rsidR="007A7E2A" w:rsidRPr="00CA39C2" w:rsidRDefault="007A7E2A" w:rsidP="003B5B72">
            <w:pPr>
              <w:contextualSpacing/>
              <w:rPr>
                <w:sz w:val="18"/>
                <w:szCs w:val="18"/>
              </w:rPr>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540" w:type="dxa"/>
          </w:tcPr>
          <w:p w:rsidR="0022359D" w:rsidRPr="00E25667" w:rsidRDefault="0022359D" w:rsidP="00F04404">
            <w:pPr>
              <w:contextualSpacing/>
            </w:pPr>
          </w:p>
        </w:tc>
        <w:tc>
          <w:tcPr>
            <w:tcW w:w="4770" w:type="dxa"/>
          </w:tcPr>
          <w:p w:rsidR="0022359D" w:rsidRPr="00E25667" w:rsidRDefault="0022359D" w:rsidP="00F04404">
            <w:pPr>
              <w:contextualSpacing/>
            </w:pPr>
          </w:p>
        </w:tc>
      </w:tr>
      <w:tr w:rsidR="00CA39C2" w:rsidRPr="00E25667" w:rsidTr="00087517">
        <w:tc>
          <w:tcPr>
            <w:tcW w:w="1907" w:type="dxa"/>
          </w:tcPr>
          <w:p w:rsidR="0022359D" w:rsidRPr="00CA39C2" w:rsidRDefault="0022359D" w:rsidP="00F04404">
            <w:pPr>
              <w:contextualSpacing/>
              <w:rPr>
                <w:sz w:val="18"/>
                <w:szCs w:val="18"/>
              </w:rPr>
            </w:pPr>
            <w:r w:rsidRPr="00CA39C2">
              <w:rPr>
                <w:b/>
                <w:sz w:val="18"/>
                <w:szCs w:val="18"/>
              </w:rPr>
              <w:t>Cross-Border Surveys</w:t>
            </w:r>
          </w:p>
        </w:tc>
        <w:tc>
          <w:tcPr>
            <w:tcW w:w="4141" w:type="dxa"/>
          </w:tcPr>
          <w:p w:rsidR="007A7E2A" w:rsidRDefault="003B5B72" w:rsidP="003B5B72">
            <w:pPr>
              <w:contextualSpacing/>
              <w:rPr>
                <w:sz w:val="18"/>
                <w:szCs w:val="18"/>
              </w:rPr>
            </w:pPr>
            <w:r>
              <w:rPr>
                <w:sz w:val="18"/>
                <w:szCs w:val="18"/>
              </w:rPr>
              <w:t xml:space="preserve">The </w:t>
            </w:r>
            <w:r w:rsidR="0022359D" w:rsidRPr="00CA39C2">
              <w:rPr>
                <w:sz w:val="18"/>
                <w:szCs w:val="18"/>
              </w:rPr>
              <w:t xml:space="preserve">survey of three border posts (Malaba, Busia and Gatuna/Katuna) </w:t>
            </w:r>
            <w:r>
              <w:rPr>
                <w:sz w:val="18"/>
                <w:szCs w:val="18"/>
              </w:rPr>
              <w:t xml:space="preserve">provided a unique opportunity to measure the dramatic improvements following key policy decisions taken by the Governments of Kenya and Uganda to facilitate cross-border movements. Important lessons were also learned on the parameters that are required for the success of border improvement programs. </w:t>
            </w:r>
            <w:r w:rsidR="0022359D" w:rsidRPr="00CA39C2">
              <w:rPr>
                <w:sz w:val="18"/>
                <w:szCs w:val="18"/>
              </w:rPr>
              <w:t xml:space="preserve">SSATP’s Working Paper No. 96, </w:t>
            </w:r>
            <w:r w:rsidR="0022359D" w:rsidRPr="00CA39C2">
              <w:rPr>
                <w:i/>
                <w:sz w:val="18"/>
                <w:szCs w:val="18"/>
              </w:rPr>
              <w:t>Border Crossing Monitoring along the Northern Corridor</w:t>
            </w:r>
            <w:r w:rsidR="0022359D" w:rsidRPr="00CA39C2">
              <w:rPr>
                <w:sz w:val="18"/>
                <w:szCs w:val="18"/>
              </w:rPr>
              <w:t>.</w:t>
            </w:r>
          </w:p>
          <w:p w:rsidR="007A7E2A" w:rsidRPr="00CA39C2" w:rsidRDefault="007A7E2A" w:rsidP="003B5B72">
            <w:pPr>
              <w:contextualSpacing/>
              <w:rPr>
                <w:sz w:val="18"/>
                <w:szCs w:val="18"/>
              </w:rPr>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540" w:type="dxa"/>
          </w:tcPr>
          <w:p w:rsidR="0022359D" w:rsidRPr="00E25667" w:rsidRDefault="0022359D" w:rsidP="00F04404">
            <w:pPr>
              <w:contextualSpacing/>
            </w:pPr>
          </w:p>
        </w:tc>
        <w:tc>
          <w:tcPr>
            <w:tcW w:w="4770" w:type="dxa"/>
          </w:tcPr>
          <w:p w:rsidR="0022359D" w:rsidRPr="00E25667" w:rsidRDefault="0022359D" w:rsidP="00F04404">
            <w:pPr>
              <w:contextualSpacing/>
            </w:pPr>
          </w:p>
        </w:tc>
      </w:tr>
      <w:tr w:rsidR="00CA39C2" w:rsidRPr="00E25667" w:rsidTr="00087517">
        <w:trPr>
          <w:cantSplit/>
        </w:trPr>
        <w:tc>
          <w:tcPr>
            <w:tcW w:w="1907" w:type="dxa"/>
          </w:tcPr>
          <w:p w:rsidR="0022359D" w:rsidRPr="00CA39C2" w:rsidRDefault="0022359D" w:rsidP="0022359D">
            <w:pPr>
              <w:rPr>
                <w:b/>
                <w:sz w:val="18"/>
                <w:szCs w:val="18"/>
              </w:rPr>
            </w:pPr>
            <w:r w:rsidRPr="00CA39C2">
              <w:rPr>
                <w:b/>
                <w:sz w:val="18"/>
                <w:szCs w:val="18"/>
              </w:rPr>
              <w:lastRenderedPageBreak/>
              <w:t>Trade and Transport Corridor Management Toolkit</w:t>
            </w:r>
            <w:r w:rsidRPr="00CA39C2">
              <w:rPr>
                <w:sz w:val="18"/>
                <w:szCs w:val="18"/>
              </w:rPr>
              <w:t xml:space="preserve"> </w:t>
            </w:r>
          </w:p>
          <w:p w:rsidR="0022359D" w:rsidRPr="00CA39C2" w:rsidRDefault="0022359D" w:rsidP="00F04404">
            <w:pPr>
              <w:contextualSpacing/>
              <w:rPr>
                <w:sz w:val="18"/>
                <w:szCs w:val="18"/>
              </w:rPr>
            </w:pPr>
          </w:p>
        </w:tc>
        <w:tc>
          <w:tcPr>
            <w:tcW w:w="4141" w:type="dxa"/>
          </w:tcPr>
          <w:p w:rsidR="0022359D" w:rsidRDefault="0022359D" w:rsidP="00405088">
            <w:pPr>
              <w:rPr>
                <w:sz w:val="18"/>
                <w:szCs w:val="18"/>
              </w:rPr>
            </w:pPr>
            <w:r w:rsidRPr="00CA39C2">
              <w:rPr>
                <w:sz w:val="18"/>
                <w:szCs w:val="18"/>
              </w:rPr>
              <w:t>This toolkit is designed to assist project managers in overcoming the apparent challenges they are fac</w:t>
            </w:r>
            <w:r w:rsidR="00317A71">
              <w:rPr>
                <w:sz w:val="18"/>
                <w:szCs w:val="18"/>
              </w:rPr>
              <w:t>ing</w:t>
            </w:r>
            <w:r w:rsidRPr="00CA39C2">
              <w:rPr>
                <w:sz w:val="18"/>
                <w:szCs w:val="18"/>
              </w:rPr>
              <w:t xml:space="preserve"> when designing corridor projects. This toolkit provides a comprehensive approach </w:t>
            </w:r>
            <w:r w:rsidR="00405088">
              <w:rPr>
                <w:sz w:val="18"/>
                <w:szCs w:val="18"/>
              </w:rPr>
              <w:t>to</w:t>
            </w:r>
            <w:r w:rsidRPr="00CA39C2">
              <w:rPr>
                <w:sz w:val="18"/>
                <w:szCs w:val="18"/>
              </w:rPr>
              <w:t xml:space="preserve"> corridor diagnostics, performance assessment, management, operations improvement and impact evaluation. It is designed for national and international public sector agencies and related private sector actors.</w:t>
            </w:r>
          </w:p>
          <w:p w:rsidR="00E16109" w:rsidRPr="00CA39C2" w:rsidRDefault="00E16109" w:rsidP="00405088">
            <w:pPr>
              <w:rPr>
                <w:b/>
                <w:sz w:val="18"/>
                <w:szCs w:val="18"/>
              </w:rPr>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540" w:type="dxa"/>
          </w:tcPr>
          <w:p w:rsidR="0022359D" w:rsidRPr="00E25667" w:rsidRDefault="0022359D" w:rsidP="00F04404">
            <w:pPr>
              <w:contextualSpacing/>
            </w:pPr>
          </w:p>
        </w:tc>
        <w:tc>
          <w:tcPr>
            <w:tcW w:w="4770" w:type="dxa"/>
          </w:tcPr>
          <w:p w:rsidR="0022359D" w:rsidRPr="00E25667" w:rsidRDefault="0022359D" w:rsidP="00F04404">
            <w:pPr>
              <w:contextualSpacing/>
            </w:pPr>
          </w:p>
        </w:tc>
      </w:tr>
      <w:tr w:rsidR="00CA39C2" w:rsidRPr="00E25667" w:rsidTr="00087517">
        <w:tc>
          <w:tcPr>
            <w:tcW w:w="1907" w:type="dxa"/>
          </w:tcPr>
          <w:p w:rsidR="0022359D" w:rsidRPr="00CA39C2" w:rsidRDefault="0022359D" w:rsidP="00F04404">
            <w:pPr>
              <w:contextualSpacing/>
              <w:rPr>
                <w:sz w:val="18"/>
                <w:szCs w:val="18"/>
              </w:rPr>
            </w:pPr>
            <w:r w:rsidRPr="00CA39C2">
              <w:rPr>
                <w:b/>
                <w:sz w:val="18"/>
                <w:szCs w:val="18"/>
              </w:rPr>
              <w:t>Logistics Cost Study of Transport Corridors in Central and West Africa</w:t>
            </w:r>
          </w:p>
        </w:tc>
        <w:tc>
          <w:tcPr>
            <w:tcW w:w="4141" w:type="dxa"/>
          </w:tcPr>
          <w:p w:rsidR="0022359D" w:rsidRPr="00CA39C2" w:rsidRDefault="0022359D" w:rsidP="0022359D">
            <w:pPr>
              <w:rPr>
                <w:sz w:val="18"/>
                <w:szCs w:val="18"/>
              </w:rPr>
            </w:pPr>
            <w:r w:rsidRPr="00CA39C2">
              <w:rPr>
                <w:sz w:val="18"/>
                <w:szCs w:val="18"/>
              </w:rPr>
              <w:t>The objective is to enable regional economic communities (RECs) and individual countries to formulate policies that result in reduction of transaction costs along the main West and Central African corridors.</w:t>
            </w:r>
            <w:r w:rsidR="00405088">
              <w:rPr>
                <w:sz w:val="18"/>
                <w:szCs w:val="18"/>
              </w:rPr>
              <w:t xml:space="preserve"> T</w:t>
            </w:r>
            <w:r w:rsidRPr="00CA39C2">
              <w:rPr>
                <w:sz w:val="18"/>
                <w:szCs w:val="18"/>
              </w:rPr>
              <w:t>he study aims to determine the components of total logistics costs, including invisible costs, and analyze linkages between different facilitation strategies and their possible impact on these costs to guide policy dialogue.</w:t>
            </w:r>
          </w:p>
          <w:p w:rsidR="0022359D" w:rsidRPr="00CA39C2" w:rsidRDefault="0022359D" w:rsidP="00F04404">
            <w:pPr>
              <w:contextualSpacing/>
              <w:rPr>
                <w:sz w:val="18"/>
                <w:szCs w:val="18"/>
              </w:rPr>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540" w:type="dxa"/>
          </w:tcPr>
          <w:p w:rsidR="0022359D" w:rsidRPr="00E25667" w:rsidRDefault="0022359D" w:rsidP="00F04404">
            <w:pPr>
              <w:contextualSpacing/>
            </w:pPr>
          </w:p>
        </w:tc>
        <w:tc>
          <w:tcPr>
            <w:tcW w:w="4770" w:type="dxa"/>
          </w:tcPr>
          <w:p w:rsidR="0022359D" w:rsidRPr="00E25667" w:rsidRDefault="0022359D" w:rsidP="00F04404">
            <w:pPr>
              <w:contextualSpacing/>
            </w:pPr>
          </w:p>
        </w:tc>
      </w:tr>
      <w:tr w:rsidR="00CA39C2" w:rsidRPr="00E25667" w:rsidTr="00087517">
        <w:trPr>
          <w:cantSplit/>
        </w:trPr>
        <w:tc>
          <w:tcPr>
            <w:tcW w:w="1907" w:type="dxa"/>
          </w:tcPr>
          <w:p w:rsidR="0022359D" w:rsidRPr="00CA39C2" w:rsidRDefault="0022359D" w:rsidP="00F04404">
            <w:pPr>
              <w:contextualSpacing/>
              <w:rPr>
                <w:sz w:val="18"/>
                <w:szCs w:val="18"/>
              </w:rPr>
            </w:pPr>
            <w:r w:rsidRPr="00CA39C2">
              <w:rPr>
                <w:b/>
                <w:sz w:val="18"/>
                <w:szCs w:val="18"/>
              </w:rPr>
              <w:t>Road Transport Industry Surveys in East Africa</w:t>
            </w:r>
          </w:p>
        </w:tc>
        <w:tc>
          <w:tcPr>
            <w:tcW w:w="4141" w:type="dxa"/>
          </w:tcPr>
          <w:p w:rsidR="0022359D" w:rsidRDefault="0022359D" w:rsidP="00405088">
            <w:pPr>
              <w:contextualSpacing/>
              <w:rPr>
                <w:sz w:val="18"/>
                <w:szCs w:val="18"/>
              </w:rPr>
            </w:pPr>
            <w:r w:rsidRPr="00CA39C2">
              <w:rPr>
                <w:sz w:val="18"/>
                <w:szCs w:val="18"/>
              </w:rPr>
              <w:t xml:space="preserve">Road transport costs and prices have been singled out as major obstacles to trade in Sub-Saharan Africa. SSATP was requested by the East Africa corridor authorities to provide its expertise in the organization of surveys, so that local capacity for generating industry information </w:t>
            </w:r>
            <w:r w:rsidR="00405088">
              <w:rPr>
                <w:sz w:val="18"/>
                <w:szCs w:val="18"/>
              </w:rPr>
              <w:t>could</w:t>
            </w:r>
            <w:r w:rsidRPr="00CA39C2">
              <w:rPr>
                <w:sz w:val="18"/>
                <w:szCs w:val="18"/>
              </w:rPr>
              <w:t xml:space="preserve"> be built </w:t>
            </w:r>
            <w:r w:rsidR="00405088">
              <w:rPr>
                <w:sz w:val="18"/>
                <w:szCs w:val="18"/>
              </w:rPr>
              <w:t>through</w:t>
            </w:r>
            <w:r w:rsidRPr="00CA39C2">
              <w:rPr>
                <w:sz w:val="18"/>
                <w:szCs w:val="18"/>
              </w:rPr>
              <w:t xml:space="preserve"> a partnership involving corridor authorities, national road transport associations and academic institutions. These surveys were conducted in Kenya, Tanzania and Rwanda and provide a snapshot of the trucking industry in East Africa. They focus on priority challenges such as the cost of the inputs in the trucking industry: fuel prices, spare</w:t>
            </w:r>
            <w:r w:rsidR="00405088">
              <w:rPr>
                <w:sz w:val="18"/>
                <w:szCs w:val="18"/>
              </w:rPr>
              <w:t xml:space="preserve"> part</w:t>
            </w:r>
            <w:r w:rsidRPr="00CA39C2">
              <w:rPr>
                <w:sz w:val="18"/>
                <w:szCs w:val="18"/>
              </w:rPr>
              <w:t>s and maintenance costs, as well as financing of the vehicles.</w:t>
            </w:r>
          </w:p>
          <w:p w:rsidR="00E16109" w:rsidRPr="00CA39C2" w:rsidRDefault="00E16109" w:rsidP="00405088">
            <w:pPr>
              <w:contextualSpacing/>
              <w:rPr>
                <w:sz w:val="18"/>
                <w:szCs w:val="18"/>
              </w:rPr>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540" w:type="dxa"/>
          </w:tcPr>
          <w:p w:rsidR="0022359D" w:rsidRPr="00E25667" w:rsidRDefault="0022359D" w:rsidP="00F04404">
            <w:pPr>
              <w:contextualSpacing/>
            </w:pPr>
          </w:p>
        </w:tc>
        <w:tc>
          <w:tcPr>
            <w:tcW w:w="4770" w:type="dxa"/>
          </w:tcPr>
          <w:p w:rsidR="0022359D" w:rsidRPr="00E25667" w:rsidRDefault="0022359D" w:rsidP="00F04404">
            <w:pPr>
              <w:contextualSpacing/>
            </w:pPr>
          </w:p>
        </w:tc>
      </w:tr>
    </w:tbl>
    <w:p w:rsidR="00E16109" w:rsidRDefault="00E16109" w:rsidP="00F04404">
      <w:pPr>
        <w:contextualSpacing/>
        <w:rPr>
          <w:b/>
          <w:sz w:val="18"/>
          <w:szCs w:val="18"/>
        </w:rPr>
        <w:sectPr w:rsidR="00E16109" w:rsidSect="00087517">
          <w:pgSz w:w="15840" w:h="12240" w:orient="landscape"/>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907"/>
        <w:gridCol w:w="4141"/>
        <w:gridCol w:w="450"/>
        <w:gridCol w:w="450"/>
        <w:gridCol w:w="450"/>
        <w:gridCol w:w="450"/>
        <w:gridCol w:w="540"/>
        <w:gridCol w:w="4770"/>
      </w:tblGrid>
      <w:tr w:rsidR="00CA39C2" w:rsidRPr="00E25667" w:rsidTr="00087517">
        <w:tc>
          <w:tcPr>
            <w:tcW w:w="1907" w:type="dxa"/>
          </w:tcPr>
          <w:p w:rsidR="0022359D" w:rsidRPr="00CA39C2" w:rsidRDefault="0022359D" w:rsidP="00F04404">
            <w:pPr>
              <w:contextualSpacing/>
              <w:rPr>
                <w:sz w:val="18"/>
                <w:szCs w:val="18"/>
              </w:rPr>
            </w:pPr>
            <w:r w:rsidRPr="00CA39C2">
              <w:rPr>
                <w:b/>
                <w:sz w:val="18"/>
                <w:szCs w:val="18"/>
              </w:rPr>
              <w:lastRenderedPageBreak/>
              <w:t xml:space="preserve">Support to the International Commission of the Congo </w:t>
            </w:r>
            <w:proofErr w:type="spellStart"/>
            <w:r w:rsidRPr="00CA39C2">
              <w:rPr>
                <w:b/>
                <w:sz w:val="18"/>
                <w:szCs w:val="18"/>
              </w:rPr>
              <w:t>Oubangui</w:t>
            </w:r>
            <w:proofErr w:type="spellEnd"/>
            <w:r w:rsidRPr="00CA39C2">
              <w:rPr>
                <w:b/>
                <w:sz w:val="18"/>
                <w:szCs w:val="18"/>
              </w:rPr>
              <w:t xml:space="preserve"> </w:t>
            </w:r>
            <w:proofErr w:type="spellStart"/>
            <w:r w:rsidRPr="00CA39C2">
              <w:rPr>
                <w:b/>
                <w:sz w:val="18"/>
                <w:szCs w:val="18"/>
              </w:rPr>
              <w:t>Sangha</w:t>
            </w:r>
            <w:proofErr w:type="spellEnd"/>
            <w:r w:rsidRPr="00CA39C2">
              <w:rPr>
                <w:b/>
                <w:sz w:val="18"/>
                <w:szCs w:val="18"/>
              </w:rPr>
              <w:t xml:space="preserve"> River (CICOS) for the establishment of the Congo River Observatory</w:t>
            </w:r>
          </w:p>
        </w:tc>
        <w:tc>
          <w:tcPr>
            <w:tcW w:w="4141" w:type="dxa"/>
          </w:tcPr>
          <w:p w:rsidR="0022359D" w:rsidRDefault="0022359D" w:rsidP="00405088">
            <w:pPr>
              <w:rPr>
                <w:sz w:val="18"/>
                <w:szCs w:val="18"/>
              </w:rPr>
            </w:pPr>
            <w:r w:rsidRPr="00CA39C2">
              <w:rPr>
                <w:sz w:val="18"/>
                <w:szCs w:val="18"/>
              </w:rPr>
              <w:t xml:space="preserve">Non-physical barriers hinder traffic flow along the Brazzaville – Kinshasa – Bangui – Kisangani corridor, </w:t>
            </w:r>
            <w:r w:rsidR="00405088">
              <w:rPr>
                <w:sz w:val="18"/>
                <w:szCs w:val="18"/>
              </w:rPr>
              <w:t>due to</w:t>
            </w:r>
            <w:r w:rsidRPr="00CA39C2">
              <w:rPr>
                <w:sz w:val="18"/>
                <w:szCs w:val="18"/>
              </w:rPr>
              <w:t xml:space="preserve"> too many checkpoints, taxes and illegal fees, thus resulting in significant waste of time</w:t>
            </w:r>
            <w:r w:rsidR="00405088">
              <w:rPr>
                <w:sz w:val="18"/>
                <w:szCs w:val="18"/>
              </w:rPr>
              <w:t xml:space="preserve"> and money</w:t>
            </w:r>
            <w:r w:rsidRPr="00CA39C2">
              <w:rPr>
                <w:sz w:val="18"/>
                <w:szCs w:val="18"/>
              </w:rPr>
              <w:t xml:space="preserve">. </w:t>
            </w:r>
            <w:r w:rsidR="00405088">
              <w:rPr>
                <w:sz w:val="18"/>
                <w:szCs w:val="18"/>
              </w:rPr>
              <w:t>The s</w:t>
            </w:r>
            <w:r w:rsidRPr="00CA39C2">
              <w:rPr>
                <w:sz w:val="18"/>
                <w:szCs w:val="18"/>
              </w:rPr>
              <w:t xml:space="preserve">tudy </w:t>
            </w:r>
            <w:r w:rsidR="00405088">
              <w:rPr>
                <w:sz w:val="18"/>
                <w:szCs w:val="18"/>
              </w:rPr>
              <w:t xml:space="preserve">provides the foundation for </w:t>
            </w:r>
            <w:r w:rsidRPr="00CA39C2">
              <w:rPr>
                <w:sz w:val="18"/>
                <w:szCs w:val="18"/>
              </w:rPr>
              <w:t xml:space="preserve">the establishment of an Observatory of non-physical barriers and malpractices to address this situation. The main task of this CICOS-led entity will be to collect and process data from the corridor in order to shape up to 25 indicators that will be helpful in terms of decision-making and implementation. </w:t>
            </w:r>
          </w:p>
          <w:p w:rsidR="004B63D2" w:rsidRPr="00CA39C2" w:rsidRDefault="004B63D2" w:rsidP="00405088">
            <w:pPr>
              <w:rPr>
                <w:b/>
                <w:sz w:val="18"/>
                <w:szCs w:val="18"/>
              </w:rPr>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450" w:type="dxa"/>
          </w:tcPr>
          <w:p w:rsidR="0022359D" w:rsidRPr="00E25667" w:rsidRDefault="0022359D" w:rsidP="00F04404">
            <w:pPr>
              <w:contextualSpacing/>
            </w:pPr>
          </w:p>
        </w:tc>
        <w:tc>
          <w:tcPr>
            <w:tcW w:w="540" w:type="dxa"/>
          </w:tcPr>
          <w:p w:rsidR="0022359D" w:rsidRPr="00E25667" w:rsidRDefault="0022359D" w:rsidP="00F04404">
            <w:pPr>
              <w:contextualSpacing/>
            </w:pPr>
          </w:p>
        </w:tc>
        <w:tc>
          <w:tcPr>
            <w:tcW w:w="4770" w:type="dxa"/>
          </w:tcPr>
          <w:p w:rsidR="0022359D" w:rsidRPr="00E25667" w:rsidRDefault="0022359D" w:rsidP="00F04404">
            <w:pPr>
              <w:contextualSpacing/>
            </w:pPr>
          </w:p>
        </w:tc>
      </w:tr>
    </w:tbl>
    <w:p w:rsidR="004B63D2" w:rsidRDefault="004B63D2" w:rsidP="00055249">
      <w:pPr>
        <w:pBdr>
          <w:bottom w:val="single" w:sz="6" w:space="1" w:color="auto"/>
        </w:pBdr>
        <w:autoSpaceDE w:val="0"/>
        <w:autoSpaceDN w:val="0"/>
        <w:adjustRightInd w:val="0"/>
        <w:spacing w:after="0" w:line="240" w:lineRule="auto"/>
        <w:rPr>
          <w:b/>
        </w:rPr>
      </w:pPr>
    </w:p>
    <w:p w:rsidR="00EB3763" w:rsidRPr="003317F8" w:rsidRDefault="00EB3763" w:rsidP="00055249">
      <w:pPr>
        <w:pBdr>
          <w:bottom w:val="single" w:sz="6" w:space="1" w:color="auto"/>
        </w:pBdr>
        <w:autoSpaceDE w:val="0"/>
        <w:autoSpaceDN w:val="0"/>
        <w:adjustRightInd w:val="0"/>
        <w:spacing w:after="0" w:line="240" w:lineRule="auto"/>
        <w:rPr>
          <w:b/>
        </w:rPr>
      </w:pPr>
      <w:r w:rsidRPr="003317F8">
        <w:rPr>
          <w:b/>
        </w:rPr>
        <w:t>DAY 2: THE SUSTAINABILITY FACTOR - TOWARDS CLEAN AND SAFE TRANSPORT FOR AFRICAN COUNTRIES</w:t>
      </w:r>
    </w:p>
    <w:p w:rsidR="00197F6F" w:rsidRDefault="00197F6F" w:rsidP="00055249">
      <w:pPr>
        <w:autoSpaceDE w:val="0"/>
        <w:autoSpaceDN w:val="0"/>
        <w:adjustRightInd w:val="0"/>
        <w:spacing w:after="0" w:line="240" w:lineRule="auto"/>
      </w:pPr>
    </w:p>
    <w:p w:rsidR="005906BE" w:rsidRPr="006D5631" w:rsidRDefault="005906BE" w:rsidP="00055249">
      <w:pPr>
        <w:autoSpaceDE w:val="0"/>
        <w:autoSpaceDN w:val="0"/>
        <w:adjustRightInd w:val="0"/>
        <w:spacing w:after="0" w:line="240" w:lineRule="auto"/>
        <w:rPr>
          <w:b/>
          <w:i/>
        </w:rPr>
      </w:pPr>
      <w:r w:rsidRPr="00FA1725">
        <w:rPr>
          <w:b/>
        </w:rPr>
        <w:t>Environmentally Sustainable Transport Forum for Africa 2014</w:t>
      </w:r>
      <w:r>
        <w:t xml:space="preserve"> </w:t>
      </w:r>
      <w:r w:rsidRPr="006D5631">
        <w:rPr>
          <w:b/>
          <w:i/>
        </w:rPr>
        <w:t>(EST-Africa)</w:t>
      </w:r>
    </w:p>
    <w:p w:rsidR="005906BE" w:rsidRDefault="005906BE" w:rsidP="00055249">
      <w:pPr>
        <w:autoSpaceDE w:val="0"/>
        <w:autoSpaceDN w:val="0"/>
        <w:adjustRightInd w:val="0"/>
        <w:spacing w:after="0" w:line="240" w:lineRule="auto"/>
      </w:pPr>
    </w:p>
    <w:tbl>
      <w:tblPr>
        <w:tblStyle w:val="TableGrid"/>
        <w:tblW w:w="0" w:type="auto"/>
        <w:tblLayout w:type="fixed"/>
        <w:tblLook w:val="04A0" w:firstRow="1" w:lastRow="0" w:firstColumn="1" w:lastColumn="0" w:noHBand="0" w:noVBand="1"/>
      </w:tblPr>
      <w:tblGrid>
        <w:gridCol w:w="1908"/>
        <w:gridCol w:w="4140"/>
        <w:gridCol w:w="450"/>
        <w:gridCol w:w="450"/>
        <w:gridCol w:w="450"/>
        <w:gridCol w:w="450"/>
        <w:gridCol w:w="540"/>
        <w:gridCol w:w="4770"/>
      </w:tblGrid>
      <w:tr w:rsidR="0055555E" w:rsidRPr="00E25667" w:rsidTr="004B63D2">
        <w:tc>
          <w:tcPr>
            <w:tcW w:w="1908" w:type="dxa"/>
            <w:vMerge w:val="restart"/>
            <w:shd w:val="clear" w:color="auto" w:fill="E5DFEC" w:themeFill="accent4" w:themeFillTint="33"/>
            <w:vAlign w:val="center"/>
          </w:tcPr>
          <w:p w:rsidR="0055555E" w:rsidRPr="002D0D57" w:rsidRDefault="0055555E" w:rsidP="00763052">
            <w:pPr>
              <w:contextualSpacing/>
              <w:jc w:val="center"/>
              <w:rPr>
                <w:b/>
                <w:sz w:val="18"/>
                <w:szCs w:val="18"/>
              </w:rPr>
            </w:pPr>
            <w:r w:rsidRPr="002D0D57">
              <w:rPr>
                <w:b/>
                <w:sz w:val="18"/>
                <w:szCs w:val="18"/>
              </w:rPr>
              <w:t>Title of the session</w:t>
            </w:r>
          </w:p>
        </w:tc>
        <w:tc>
          <w:tcPr>
            <w:tcW w:w="4140" w:type="dxa"/>
            <w:vMerge w:val="restart"/>
            <w:shd w:val="clear" w:color="auto" w:fill="E5DFEC" w:themeFill="accent4" w:themeFillTint="33"/>
            <w:vAlign w:val="center"/>
          </w:tcPr>
          <w:p w:rsidR="0055555E" w:rsidRPr="002D0D57" w:rsidRDefault="0055555E" w:rsidP="00763052">
            <w:pPr>
              <w:contextualSpacing/>
              <w:jc w:val="center"/>
              <w:rPr>
                <w:b/>
                <w:sz w:val="18"/>
                <w:szCs w:val="18"/>
              </w:rPr>
            </w:pPr>
            <w:r w:rsidRPr="002D0D57">
              <w:rPr>
                <w:b/>
                <w:sz w:val="18"/>
                <w:szCs w:val="18"/>
              </w:rPr>
              <w:t>Description</w:t>
            </w:r>
          </w:p>
        </w:tc>
        <w:tc>
          <w:tcPr>
            <w:tcW w:w="2340" w:type="dxa"/>
            <w:gridSpan w:val="5"/>
            <w:shd w:val="clear" w:color="auto" w:fill="E5DFEC" w:themeFill="accent4" w:themeFillTint="33"/>
            <w:vAlign w:val="center"/>
          </w:tcPr>
          <w:p w:rsidR="00763052" w:rsidRDefault="0055555E" w:rsidP="00763052">
            <w:pPr>
              <w:contextualSpacing/>
              <w:jc w:val="center"/>
              <w:rPr>
                <w:b/>
                <w:sz w:val="18"/>
                <w:szCs w:val="18"/>
              </w:rPr>
            </w:pPr>
            <w:r w:rsidRPr="002D0D57">
              <w:rPr>
                <w:b/>
                <w:sz w:val="18"/>
                <w:szCs w:val="18"/>
              </w:rPr>
              <w:t xml:space="preserve">How would you rank the session? (Importance/ </w:t>
            </w:r>
            <w:r w:rsidR="00763052">
              <w:rPr>
                <w:b/>
                <w:sz w:val="18"/>
                <w:szCs w:val="18"/>
              </w:rPr>
              <w:t>Relevance of</w:t>
            </w:r>
          </w:p>
          <w:p w:rsidR="0055555E" w:rsidRPr="002D0D57" w:rsidRDefault="0055555E" w:rsidP="00763052">
            <w:pPr>
              <w:contextualSpacing/>
              <w:jc w:val="center"/>
              <w:rPr>
                <w:b/>
                <w:sz w:val="18"/>
                <w:szCs w:val="18"/>
              </w:rPr>
            </w:pPr>
            <w:r w:rsidRPr="002D0D57">
              <w:rPr>
                <w:b/>
                <w:sz w:val="18"/>
                <w:szCs w:val="18"/>
              </w:rPr>
              <w:t>the topic)</w:t>
            </w:r>
          </w:p>
        </w:tc>
        <w:tc>
          <w:tcPr>
            <w:tcW w:w="4770" w:type="dxa"/>
            <w:vMerge w:val="restart"/>
            <w:shd w:val="clear" w:color="auto" w:fill="E5DFEC" w:themeFill="accent4" w:themeFillTint="33"/>
            <w:vAlign w:val="center"/>
          </w:tcPr>
          <w:p w:rsidR="0055555E" w:rsidRPr="002D0D57" w:rsidRDefault="0055555E" w:rsidP="00763052">
            <w:pPr>
              <w:contextualSpacing/>
              <w:jc w:val="center"/>
              <w:rPr>
                <w:b/>
                <w:sz w:val="18"/>
                <w:szCs w:val="18"/>
              </w:rPr>
            </w:pPr>
            <w:r w:rsidRPr="002D0D57">
              <w:rPr>
                <w:b/>
                <w:sz w:val="18"/>
                <w:szCs w:val="18"/>
              </w:rPr>
              <w:t>Additional comments</w:t>
            </w:r>
          </w:p>
        </w:tc>
      </w:tr>
      <w:tr w:rsidR="002D0D57" w:rsidRPr="00E25667" w:rsidTr="004B63D2">
        <w:tc>
          <w:tcPr>
            <w:tcW w:w="1908" w:type="dxa"/>
            <w:vMerge/>
            <w:shd w:val="clear" w:color="auto" w:fill="EEECE1" w:themeFill="background2"/>
          </w:tcPr>
          <w:p w:rsidR="0055555E" w:rsidRPr="002D0D57" w:rsidRDefault="0055555E" w:rsidP="00F04404">
            <w:pPr>
              <w:contextualSpacing/>
              <w:rPr>
                <w:sz w:val="18"/>
                <w:szCs w:val="18"/>
              </w:rPr>
            </w:pPr>
          </w:p>
        </w:tc>
        <w:tc>
          <w:tcPr>
            <w:tcW w:w="4140" w:type="dxa"/>
            <w:vMerge/>
            <w:shd w:val="clear" w:color="auto" w:fill="EEECE1" w:themeFill="background2"/>
          </w:tcPr>
          <w:p w:rsidR="0055555E" w:rsidRPr="002D0D57" w:rsidRDefault="0055555E" w:rsidP="00F04404">
            <w:pPr>
              <w:contextualSpacing/>
              <w:rPr>
                <w:sz w:val="18"/>
                <w:szCs w:val="18"/>
              </w:rPr>
            </w:pPr>
          </w:p>
        </w:tc>
        <w:tc>
          <w:tcPr>
            <w:tcW w:w="450" w:type="dxa"/>
            <w:shd w:val="clear" w:color="auto" w:fill="E5DFEC" w:themeFill="accent4" w:themeFillTint="33"/>
          </w:tcPr>
          <w:p w:rsidR="0055555E" w:rsidRPr="002D0D57" w:rsidRDefault="0055555E" w:rsidP="00F04404">
            <w:pPr>
              <w:contextualSpacing/>
              <w:rPr>
                <w:b/>
                <w:sz w:val="18"/>
                <w:szCs w:val="18"/>
              </w:rPr>
            </w:pPr>
            <w:r w:rsidRPr="002D0D57">
              <w:rPr>
                <w:b/>
                <w:sz w:val="18"/>
                <w:szCs w:val="18"/>
              </w:rPr>
              <w:t>0</w:t>
            </w:r>
          </w:p>
        </w:tc>
        <w:tc>
          <w:tcPr>
            <w:tcW w:w="450" w:type="dxa"/>
            <w:shd w:val="clear" w:color="auto" w:fill="E5DFEC" w:themeFill="accent4" w:themeFillTint="33"/>
          </w:tcPr>
          <w:p w:rsidR="0055555E" w:rsidRPr="002D0D57" w:rsidRDefault="0055555E" w:rsidP="00F04404">
            <w:pPr>
              <w:contextualSpacing/>
              <w:rPr>
                <w:b/>
                <w:sz w:val="18"/>
                <w:szCs w:val="18"/>
              </w:rPr>
            </w:pPr>
            <w:r w:rsidRPr="002D0D57">
              <w:rPr>
                <w:b/>
                <w:sz w:val="18"/>
                <w:szCs w:val="18"/>
              </w:rPr>
              <w:t>1</w:t>
            </w:r>
          </w:p>
        </w:tc>
        <w:tc>
          <w:tcPr>
            <w:tcW w:w="450" w:type="dxa"/>
            <w:shd w:val="clear" w:color="auto" w:fill="E5DFEC" w:themeFill="accent4" w:themeFillTint="33"/>
          </w:tcPr>
          <w:p w:rsidR="0055555E" w:rsidRPr="002D0D57" w:rsidRDefault="0055555E" w:rsidP="00F04404">
            <w:pPr>
              <w:contextualSpacing/>
              <w:rPr>
                <w:b/>
                <w:sz w:val="18"/>
                <w:szCs w:val="18"/>
              </w:rPr>
            </w:pPr>
            <w:r w:rsidRPr="002D0D57">
              <w:rPr>
                <w:b/>
                <w:sz w:val="18"/>
                <w:szCs w:val="18"/>
              </w:rPr>
              <w:t>2</w:t>
            </w:r>
          </w:p>
        </w:tc>
        <w:tc>
          <w:tcPr>
            <w:tcW w:w="450" w:type="dxa"/>
            <w:shd w:val="clear" w:color="auto" w:fill="E5DFEC" w:themeFill="accent4" w:themeFillTint="33"/>
          </w:tcPr>
          <w:p w:rsidR="0055555E" w:rsidRPr="002D0D57" w:rsidRDefault="0055555E" w:rsidP="00F04404">
            <w:pPr>
              <w:contextualSpacing/>
              <w:rPr>
                <w:b/>
                <w:sz w:val="18"/>
                <w:szCs w:val="18"/>
              </w:rPr>
            </w:pPr>
            <w:r w:rsidRPr="002D0D57">
              <w:rPr>
                <w:b/>
                <w:sz w:val="18"/>
                <w:szCs w:val="18"/>
              </w:rPr>
              <w:t>3</w:t>
            </w:r>
          </w:p>
        </w:tc>
        <w:tc>
          <w:tcPr>
            <w:tcW w:w="540" w:type="dxa"/>
            <w:shd w:val="clear" w:color="auto" w:fill="E5DFEC" w:themeFill="accent4" w:themeFillTint="33"/>
          </w:tcPr>
          <w:p w:rsidR="0055555E" w:rsidRPr="002D0D57" w:rsidRDefault="0055555E" w:rsidP="00F04404">
            <w:pPr>
              <w:contextualSpacing/>
              <w:rPr>
                <w:b/>
                <w:sz w:val="18"/>
                <w:szCs w:val="18"/>
              </w:rPr>
            </w:pPr>
            <w:r w:rsidRPr="002D0D57">
              <w:rPr>
                <w:b/>
                <w:sz w:val="18"/>
                <w:szCs w:val="18"/>
              </w:rPr>
              <w:t>4</w:t>
            </w:r>
          </w:p>
        </w:tc>
        <w:tc>
          <w:tcPr>
            <w:tcW w:w="4770" w:type="dxa"/>
            <w:vMerge/>
            <w:shd w:val="clear" w:color="auto" w:fill="EEECE1" w:themeFill="background2"/>
          </w:tcPr>
          <w:p w:rsidR="0055555E" w:rsidRPr="002D0D57" w:rsidRDefault="0055555E" w:rsidP="00F04404">
            <w:pPr>
              <w:contextualSpacing/>
              <w:rPr>
                <w:sz w:val="18"/>
                <w:szCs w:val="18"/>
              </w:rPr>
            </w:pPr>
          </w:p>
        </w:tc>
      </w:tr>
      <w:tr w:rsidR="002D0D57" w:rsidRPr="00E25667" w:rsidTr="00A640E7">
        <w:tc>
          <w:tcPr>
            <w:tcW w:w="1908" w:type="dxa"/>
          </w:tcPr>
          <w:p w:rsidR="0055555E" w:rsidRPr="002D0D57" w:rsidRDefault="0055555E" w:rsidP="00F04404">
            <w:pPr>
              <w:contextualSpacing/>
              <w:rPr>
                <w:sz w:val="18"/>
                <w:szCs w:val="18"/>
              </w:rPr>
            </w:pPr>
            <w:r w:rsidRPr="002D0D57">
              <w:rPr>
                <w:b/>
                <w:sz w:val="18"/>
                <w:szCs w:val="18"/>
              </w:rPr>
              <w:t>Environmentally Sustainable Transport Forum for Africa 2014</w:t>
            </w:r>
          </w:p>
        </w:tc>
        <w:tc>
          <w:tcPr>
            <w:tcW w:w="4140" w:type="dxa"/>
          </w:tcPr>
          <w:p w:rsidR="0055555E" w:rsidRPr="002D0D57" w:rsidRDefault="0055555E" w:rsidP="005906BE">
            <w:pPr>
              <w:autoSpaceDE w:val="0"/>
              <w:autoSpaceDN w:val="0"/>
              <w:adjustRightInd w:val="0"/>
              <w:rPr>
                <w:sz w:val="18"/>
                <w:szCs w:val="18"/>
              </w:rPr>
            </w:pPr>
            <w:r w:rsidRPr="002D0D57">
              <w:rPr>
                <w:sz w:val="18"/>
                <w:szCs w:val="18"/>
              </w:rPr>
              <w:t xml:space="preserve">(EST-Africa): This session will introduce the Environmentally Sustainable Transport Forum for Africa (EST-Africa), the first edition of which will be organized by SSATP </w:t>
            </w:r>
            <w:r w:rsidR="0027271C">
              <w:rPr>
                <w:sz w:val="18"/>
                <w:szCs w:val="18"/>
              </w:rPr>
              <w:t xml:space="preserve">in partnership with UN agencies </w:t>
            </w:r>
            <w:r w:rsidRPr="002D0D57">
              <w:rPr>
                <w:sz w:val="18"/>
                <w:szCs w:val="18"/>
              </w:rPr>
              <w:t>in 2014. The EST-Africa will create a unique opportunity for key stakeholders across the African continent to discuss the importance and the benefits of sustainable transport policies, to explore ways to reconcile economic growth and environmental considerations, and to build greater climate resilience.</w:t>
            </w:r>
          </w:p>
          <w:p w:rsidR="0055555E" w:rsidRPr="002D0D57" w:rsidRDefault="0055555E" w:rsidP="00F04404">
            <w:pPr>
              <w:contextualSpacing/>
              <w:rPr>
                <w:sz w:val="18"/>
                <w:szCs w:val="18"/>
              </w:rPr>
            </w:pPr>
          </w:p>
        </w:tc>
        <w:tc>
          <w:tcPr>
            <w:tcW w:w="450" w:type="dxa"/>
          </w:tcPr>
          <w:p w:rsidR="0055555E" w:rsidRPr="002D0D57" w:rsidRDefault="0055555E" w:rsidP="00F04404">
            <w:pPr>
              <w:contextualSpacing/>
              <w:rPr>
                <w:sz w:val="18"/>
                <w:szCs w:val="18"/>
              </w:rPr>
            </w:pPr>
          </w:p>
        </w:tc>
        <w:tc>
          <w:tcPr>
            <w:tcW w:w="450" w:type="dxa"/>
          </w:tcPr>
          <w:p w:rsidR="0055555E" w:rsidRPr="002D0D57" w:rsidRDefault="0055555E" w:rsidP="00F04404">
            <w:pPr>
              <w:contextualSpacing/>
              <w:rPr>
                <w:sz w:val="18"/>
                <w:szCs w:val="18"/>
              </w:rPr>
            </w:pPr>
          </w:p>
        </w:tc>
        <w:tc>
          <w:tcPr>
            <w:tcW w:w="450" w:type="dxa"/>
          </w:tcPr>
          <w:p w:rsidR="0055555E" w:rsidRPr="002D0D57" w:rsidRDefault="0055555E" w:rsidP="00F04404">
            <w:pPr>
              <w:contextualSpacing/>
              <w:rPr>
                <w:sz w:val="18"/>
                <w:szCs w:val="18"/>
              </w:rPr>
            </w:pPr>
          </w:p>
        </w:tc>
        <w:tc>
          <w:tcPr>
            <w:tcW w:w="450" w:type="dxa"/>
          </w:tcPr>
          <w:p w:rsidR="0055555E" w:rsidRPr="002D0D57" w:rsidRDefault="0055555E" w:rsidP="00F04404">
            <w:pPr>
              <w:contextualSpacing/>
              <w:rPr>
                <w:sz w:val="18"/>
                <w:szCs w:val="18"/>
              </w:rPr>
            </w:pPr>
          </w:p>
        </w:tc>
        <w:tc>
          <w:tcPr>
            <w:tcW w:w="540" w:type="dxa"/>
          </w:tcPr>
          <w:p w:rsidR="0055555E" w:rsidRPr="002D0D57" w:rsidRDefault="0055555E" w:rsidP="00F04404">
            <w:pPr>
              <w:contextualSpacing/>
              <w:rPr>
                <w:sz w:val="18"/>
                <w:szCs w:val="18"/>
              </w:rPr>
            </w:pPr>
          </w:p>
        </w:tc>
        <w:tc>
          <w:tcPr>
            <w:tcW w:w="4770" w:type="dxa"/>
          </w:tcPr>
          <w:p w:rsidR="0055555E" w:rsidRPr="002D0D57" w:rsidRDefault="0055555E" w:rsidP="00F04404">
            <w:pPr>
              <w:contextualSpacing/>
              <w:rPr>
                <w:sz w:val="18"/>
                <w:szCs w:val="18"/>
              </w:rPr>
            </w:pPr>
          </w:p>
        </w:tc>
      </w:tr>
    </w:tbl>
    <w:p w:rsidR="004B63D2" w:rsidRDefault="004B63D2" w:rsidP="006573D2">
      <w:pPr>
        <w:spacing w:line="240" w:lineRule="auto"/>
        <w:ind w:left="720" w:firstLine="720"/>
        <w:rPr>
          <w:rFonts w:ascii="Helv" w:hAnsi="Helv" w:cs="Helv"/>
          <w:b/>
          <w:i/>
          <w:color w:val="000000"/>
          <w:sz w:val="20"/>
          <w:szCs w:val="20"/>
        </w:rPr>
        <w:sectPr w:rsidR="004B63D2" w:rsidSect="00087517">
          <w:pgSz w:w="15840" w:h="12240" w:orient="landscape"/>
          <w:pgMar w:top="1440" w:right="1440" w:bottom="1440" w:left="1440" w:header="720" w:footer="720" w:gutter="0"/>
          <w:cols w:space="720"/>
          <w:docGrid w:linePitch="360"/>
        </w:sectPr>
      </w:pPr>
    </w:p>
    <w:p w:rsidR="006573D2" w:rsidRPr="004B63D2" w:rsidRDefault="001F100F" w:rsidP="004B63D2">
      <w:pPr>
        <w:spacing w:line="240" w:lineRule="auto"/>
        <w:ind w:left="720" w:hanging="720"/>
        <w:rPr>
          <w:b/>
          <w:sz w:val="24"/>
          <w:szCs w:val="24"/>
        </w:rPr>
      </w:pPr>
      <w:r w:rsidRPr="004B63D2">
        <w:rPr>
          <w:b/>
          <w:sz w:val="24"/>
          <w:szCs w:val="24"/>
        </w:rPr>
        <w:lastRenderedPageBreak/>
        <w:t>Mitigating the impact of and adapting to Climate Change</w:t>
      </w:r>
    </w:p>
    <w:tbl>
      <w:tblPr>
        <w:tblStyle w:val="TableGrid"/>
        <w:tblW w:w="5049" w:type="pct"/>
        <w:tblLayout w:type="fixed"/>
        <w:tblLook w:val="04A0" w:firstRow="1" w:lastRow="0" w:firstColumn="1" w:lastColumn="0" w:noHBand="0" w:noVBand="1"/>
      </w:tblPr>
      <w:tblGrid>
        <w:gridCol w:w="1908"/>
        <w:gridCol w:w="4138"/>
        <w:gridCol w:w="396"/>
        <w:gridCol w:w="53"/>
        <w:gridCol w:w="410"/>
        <w:gridCol w:w="43"/>
        <w:gridCol w:w="420"/>
        <w:gridCol w:w="29"/>
        <w:gridCol w:w="434"/>
        <w:gridCol w:w="16"/>
        <w:gridCol w:w="540"/>
        <w:gridCol w:w="4918"/>
      </w:tblGrid>
      <w:tr w:rsidR="00763052" w:rsidRPr="00320541" w:rsidTr="004B63D2">
        <w:trPr>
          <w:cantSplit/>
          <w:tblHeader/>
        </w:trPr>
        <w:tc>
          <w:tcPr>
            <w:tcW w:w="717" w:type="pct"/>
            <w:vMerge w:val="restart"/>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Title of the session</w:t>
            </w:r>
          </w:p>
        </w:tc>
        <w:tc>
          <w:tcPr>
            <w:tcW w:w="1555" w:type="pct"/>
            <w:vMerge w:val="restart"/>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Description</w:t>
            </w:r>
          </w:p>
        </w:tc>
        <w:tc>
          <w:tcPr>
            <w:tcW w:w="880" w:type="pct"/>
            <w:gridSpan w:val="9"/>
            <w:shd w:val="clear" w:color="auto" w:fill="E5DFEC" w:themeFill="accent4" w:themeFillTint="33"/>
            <w:vAlign w:val="center"/>
          </w:tcPr>
          <w:p w:rsidR="00763052" w:rsidRDefault="00763052" w:rsidP="00763052">
            <w:pPr>
              <w:contextualSpacing/>
              <w:jc w:val="center"/>
              <w:rPr>
                <w:b/>
                <w:sz w:val="18"/>
                <w:szCs w:val="18"/>
              </w:rPr>
            </w:pPr>
            <w:r w:rsidRPr="00320541">
              <w:rPr>
                <w:b/>
                <w:sz w:val="18"/>
                <w:szCs w:val="18"/>
              </w:rPr>
              <w:t xml:space="preserve">How would you rank the session? (Importance/ </w:t>
            </w:r>
            <w:r>
              <w:rPr>
                <w:b/>
                <w:sz w:val="18"/>
                <w:szCs w:val="18"/>
              </w:rPr>
              <w:t>Relevance of</w:t>
            </w:r>
          </w:p>
          <w:p w:rsidR="00763052" w:rsidRPr="00320541" w:rsidRDefault="00763052" w:rsidP="00763052">
            <w:pPr>
              <w:contextualSpacing/>
              <w:jc w:val="center"/>
              <w:rPr>
                <w:b/>
                <w:sz w:val="18"/>
                <w:szCs w:val="18"/>
              </w:rPr>
            </w:pPr>
            <w:r w:rsidRPr="00320541">
              <w:rPr>
                <w:b/>
                <w:sz w:val="18"/>
                <w:szCs w:val="18"/>
              </w:rPr>
              <w:t>the topic)</w:t>
            </w:r>
          </w:p>
        </w:tc>
        <w:tc>
          <w:tcPr>
            <w:tcW w:w="1848" w:type="pct"/>
            <w:vMerge w:val="restart"/>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Additional comments</w:t>
            </w:r>
          </w:p>
        </w:tc>
      </w:tr>
      <w:tr w:rsidR="00763052" w:rsidRPr="00320541" w:rsidTr="004B63D2">
        <w:trPr>
          <w:cantSplit/>
          <w:tblHeader/>
        </w:trPr>
        <w:tc>
          <w:tcPr>
            <w:tcW w:w="717" w:type="pct"/>
            <w:vMerge/>
            <w:vAlign w:val="center"/>
          </w:tcPr>
          <w:p w:rsidR="00763052" w:rsidRPr="00320541" w:rsidRDefault="00763052" w:rsidP="00763052">
            <w:pPr>
              <w:contextualSpacing/>
              <w:jc w:val="center"/>
              <w:rPr>
                <w:sz w:val="18"/>
                <w:szCs w:val="18"/>
              </w:rPr>
            </w:pPr>
          </w:p>
        </w:tc>
        <w:tc>
          <w:tcPr>
            <w:tcW w:w="1555" w:type="pct"/>
            <w:vMerge/>
            <w:vAlign w:val="center"/>
          </w:tcPr>
          <w:p w:rsidR="00763052" w:rsidRPr="00320541" w:rsidRDefault="00763052" w:rsidP="00763052">
            <w:pPr>
              <w:contextualSpacing/>
              <w:jc w:val="center"/>
              <w:rPr>
                <w:sz w:val="18"/>
                <w:szCs w:val="18"/>
              </w:rPr>
            </w:pPr>
          </w:p>
        </w:tc>
        <w:tc>
          <w:tcPr>
            <w:tcW w:w="149" w:type="pct"/>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0</w:t>
            </w:r>
          </w:p>
        </w:tc>
        <w:tc>
          <w:tcPr>
            <w:tcW w:w="174" w:type="pct"/>
            <w:gridSpan w:val="2"/>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1</w:t>
            </w:r>
          </w:p>
        </w:tc>
        <w:tc>
          <w:tcPr>
            <w:tcW w:w="174" w:type="pct"/>
            <w:gridSpan w:val="2"/>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2</w:t>
            </w:r>
          </w:p>
        </w:tc>
        <w:tc>
          <w:tcPr>
            <w:tcW w:w="174" w:type="pct"/>
            <w:gridSpan w:val="2"/>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3</w:t>
            </w:r>
          </w:p>
        </w:tc>
        <w:tc>
          <w:tcPr>
            <w:tcW w:w="209" w:type="pct"/>
            <w:gridSpan w:val="2"/>
            <w:shd w:val="clear" w:color="auto" w:fill="E5DFEC" w:themeFill="accent4" w:themeFillTint="33"/>
            <w:vAlign w:val="center"/>
          </w:tcPr>
          <w:p w:rsidR="00763052" w:rsidRPr="00320541" w:rsidRDefault="00763052" w:rsidP="00763052">
            <w:pPr>
              <w:contextualSpacing/>
              <w:jc w:val="center"/>
              <w:rPr>
                <w:b/>
                <w:sz w:val="18"/>
                <w:szCs w:val="18"/>
              </w:rPr>
            </w:pPr>
            <w:r w:rsidRPr="00320541">
              <w:rPr>
                <w:b/>
                <w:sz w:val="18"/>
                <w:szCs w:val="18"/>
              </w:rPr>
              <w:t>4</w:t>
            </w:r>
          </w:p>
        </w:tc>
        <w:tc>
          <w:tcPr>
            <w:tcW w:w="1848" w:type="pct"/>
            <w:vMerge/>
            <w:vAlign w:val="center"/>
          </w:tcPr>
          <w:p w:rsidR="00763052" w:rsidRPr="00320541" w:rsidRDefault="00763052" w:rsidP="00763052">
            <w:pPr>
              <w:contextualSpacing/>
              <w:jc w:val="center"/>
              <w:rPr>
                <w:sz w:val="18"/>
                <w:szCs w:val="18"/>
              </w:rPr>
            </w:pPr>
          </w:p>
        </w:tc>
      </w:tr>
      <w:tr w:rsidR="00320541" w:rsidRPr="00320541" w:rsidTr="00A640E7">
        <w:tc>
          <w:tcPr>
            <w:tcW w:w="717" w:type="pct"/>
          </w:tcPr>
          <w:p w:rsidR="005906BE" w:rsidRPr="00320541" w:rsidRDefault="005906BE" w:rsidP="00F04404">
            <w:pPr>
              <w:contextualSpacing/>
              <w:rPr>
                <w:sz w:val="18"/>
                <w:szCs w:val="18"/>
              </w:rPr>
            </w:pPr>
            <w:r w:rsidRPr="00320541">
              <w:rPr>
                <w:b/>
                <w:sz w:val="18"/>
                <w:szCs w:val="18"/>
              </w:rPr>
              <w:t>Global Fuel Economy Initiative (GEFI)</w:t>
            </w:r>
          </w:p>
        </w:tc>
        <w:tc>
          <w:tcPr>
            <w:tcW w:w="1555" w:type="pct"/>
          </w:tcPr>
          <w:p w:rsidR="005906BE" w:rsidRDefault="005906BE" w:rsidP="00F04404">
            <w:pPr>
              <w:contextualSpacing/>
              <w:rPr>
                <w:sz w:val="18"/>
                <w:szCs w:val="18"/>
              </w:rPr>
            </w:pPr>
            <w:r w:rsidRPr="00320541">
              <w:rPr>
                <w:sz w:val="18"/>
                <w:szCs w:val="18"/>
              </w:rPr>
              <w:t xml:space="preserve">GEFI helps countries adopt effective fuel economy standards and </w:t>
            </w:r>
            <w:proofErr w:type="gramStart"/>
            <w:r w:rsidRPr="00320541">
              <w:rPr>
                <w:sz w:val="18"/>
                <w:szCs w:val="18"/>
              </w:rPr>
              <w:t>policies tailored to their needs, conducts</w:t>
            </w:r>
            <w:proofErr w:type="gramEnd"/>
            <w:r w:rsidRPr="00320541">
              <w:rPr>
                <w:sz w:val="18"/>
                <w:szCs w:val="18"/>
              </w:rPr>
              <w:t xml:space="preserve"> research on fuel economy potentials by country and region, and works with multiple stakeholders (governments, vehicle manufacturers, etc.) to promote a more pro-active fuel economy agenda. In Africa, GEFI focuses more specifically on import restrictions and fuel taxes. It is supported by partners like GEF, ITF, the FIA Foundation and UNEP.</w:t>
            </w:r>
          </w:p>
          <w:p w:rsidR="004B63D2" w:rsidRPr="00320541" w:rsidRDefault="004B63D2" w:rsidP="00F04404">
            <w:pPr>
              <w:contextualSpacing/>
              <w:rPr>
                <w:sz w:val="18"/>
                <w:szCs w:val="18"/>
              </w:rPr>
            </w:pPr>
          </w:p>
        </w:tc>
        <w:tc>
          <w:tcPr>
            <w:tcW w:w="149" w:type="pct"/>
          </w:tcPr>
          <w:p w:rsidR="005906BE" w:rsidRPr="00320541" w:rsidRDefault="005906BE" w:rsidP="00F04404">
            <w:pPr>
              <w:contextualSpacing/>
              <w:rPr>
                <w:sz w:val="18"/>
                <w:szCs w:val="18"/>
              </w:rPr>
            </w:pPr>
          </w:p>
        </w:tc>
        <w:tc>
          <w:tcPr>
            <w:tcW w:w="174" w:type="pct"/>
            <w:gridSpan w:val="2"/>
          </w:tcPr>
          <w:p w:rsidR="005906BE" w:rsidRPr="00320541" w:rsidRDefault="005906BE" w:rsidP="00F04404">
            <w:pPr>
              <w:contextualSpacing/>
              <w:rPr>
                <w:sz w:val="18"/>
                <w:szCs w:val="18"/>
              </w:rPr>
            </w:pPr>
          </w:p>
        </w:tc>
        <w:tc>
          <w:tcPr>
            <w:tcW w:w="174" w:type="pct"/>
            <w:gridSpan w:val="2"/>
          </w:tcPr>
          <w:p w:rsidR="005906BE" w:rsidRPr="00320541" w:rsidRDefault="005906BE" w:rsidP="00F04404">
            <w:pPr>
              <w:contextualSpacing/>
              <w:rPr>
                <w:sz w:val="18"/>
                <w:szCs w:val="18"/>
              </w:rPr>
            </w:pPr>
          </w:p>
        </w:tc>
        <w:tc>
          <w:tcPr>
            <w:tcW w:w="174" w:type="pct"/>
            <w:gridSpan w:val="2"/>
          </w:tcPr>
          <w:p w:rsidR="005906BE" w:rsidRPr="00320541" w:rsidRDefault="005906BE" w:rsidP="00F04404">
            <w:pPr>
              <w:contextualSpacing/>
              <w:rPr>
                <w:sz w:val="18"/>
                <w:szCs w:val="18"/>
              </w:rPr>
            </w:pPr>
          </w:p>
        </w:tc>
        <w:tc>
          <w:tcPr>
            <w:tcW w:w="209" w:type="pct"/>
            <w:gridSpan w:val="2"/>
          </w:tcPr>
          <w:p w:rsidR="005906BE" w:rsidRPr="00320541" w:rsidRDefault="005906BE" w:rsidP="00F04404">
            <w:pPr>
              <w:contextualSpacing/>
              <w:rPr>
                <w:sz w:val="18"/>
                <w:szCs w:val="18"/>
              </w:rPr>
            </w:pPr>
          </w:p>
        </w:tc>
        <w:tc>
          <w:tcPr>
            <w:tcW w:w="1848" w:type="pct"/>
          </w:tcPr>
          <w:p w:rsidR="005906BE" w:rsidRPr="00320541" w:rsidRDefault="005906BE" w:rsidP="00F04404">
            <w:pPr>
              <w:contextualSpacing/>
              <w:rPr>
                <w:sz w:val="18"/>
                <w:szCs w:val="18"/>
              </w:rPr>
            </w:pPr>
          </w:p>
        </w:tc>
      </w:tr>
      <w:tr w:rsidR="004B63D2" w:rsidRPr="00320541" w:rsidTr="00A640E7">
        <w:tc>
          <w:tcPr>
            <w:tcW w:w="717" w:type="pct"/>
            <w:vMerge w:val="restart"/>
          </w:tcPr>
          <w:p w:rsidR="004B63D2" w:rsidRPr="00320541" w:rsidRDefault="004B63D2" w:rsidP="005906BE">
            <w:pPr>
              <w:autoSpaceDE w:val="0"/>
              <w:autoSpaceDN w:val="0"/>
              <w:adjustRightInd w:val="0"/>
              <w:rPr>
                <w:sz w:val="18"/>
                <w:szCs w:val="18"/>
              </w:rPr>
            </w:pPr>
            <w:r w:rsidRPr="00320541">
              <w:rPr>
                <w:b/>
                <w:sz w:val="18"/>
                <w:szCs w:val="18"/>
              </w:rPr>
              <w:t>Climate Change Adaptation</w:t>
            </w:r>
          </w:p>
        </w:tc>
        <w:tc>
          <w:tcPr>
            <w:tcW w:w="4283" w:type="pct"/>
            <w:gridSpan w:val="11"/>
          </w:tcPr>
          <w:p w:rsidR="004B63D2" w:rsidRPr="00320541" w:rsidRDefault="004B63D2" w:rsidP="005906BE">
            <w:pPr>
              <w:autoSpaceDE w:val="0"/>
              <w:autoSpaceDN w:val="0"/>
              <w:adjustRightInd w:val="0"/>
              <w:rPr>
                <w:sz w:val="18"/>
                <w:szCs w:val="18"/>
              </w:rPr>
            </w:pPr>
            <w:r w:rsidRPr="00320541">
              <w:rPr>
                <w:sz w:val="18"/>
                <w:szCs w:val="18"/>
              </w:rPr>
              <w:t xml:space="preserve">The issue of climate change resilience is </w:t>
            </w:r>
            <w:proofErr w:type="gramStart"/>
            <w:r w:rsidRPr="00320541">
              <w:rPr>
                <w:sz w:val="18"/>
                <w:szCs w:val="18"/>
              </w:rPr>
              <w:t>key</w:t>
            </w:r>
            <w:proofErr w:type="gramEnd"/>
            <w:r w:rsidRPr="00320541">
              <w:rPr>
                <w:sz w:val="18"/>
                <w:szCs w:val="18"/>
              </w:rPr>
              <w:t xml:space="preserve"> to developing sensible and comprehensive sustainable transport policies. Therefore, a significant portion of day 2 should be devoted to introducing successful, innovative projects related to climate change resilience and climate change adaptation in the transport sector. The following examples are suggested:</w:t>
            </w:r>
          </w:p>
          <w:p w:rsidR="004B63D2" w:rsidRPr="00320541" w:rsidRDefault="004B63D2" w:rsidP="00F04404">
            <w:pPr>
              <w:contextualSpacing/>
              <w:rPr>
                <w:sz w:val="18"/>
                <w:szCs w:val="18"/>
              </w:rPr>
            </w:pPr>
          </w:p>
        </w:tc>
      </w:tr>
      <w:tr w:rsidR="004B63D2" w:rsidRPr="00320541" w:rsidTr="00ED2ECD">
        <w:tc>
          <w:tcPr>
            <w:tcW w:w="717" w:type="pct"/>
            <w:vMerge/>
          </w:tcPr>
          <w:p w:rsidR="004B63D2" w:rsidRPr="00320541" w:rsidRDefault="004B63D2" w:rsidP="00F04404">
            <w:pPr>
              <w:contextualSpacing/>
              <w:rPr>
                <w:sz w:val="18"/>
                <w:szCs w:val="18"/>
              </w:rPr>
            </w:pPr>
          </w:p>
        </w:tc>
        <w:tc>
          <w:tcPr>
            <w:tcW w:w="1555" w:type="pct"/>
          </w:tcPr>
          <w:p w:rsidR="004B63D2" w:rsidRPr="00320541" w:rsidRDefault="004B63D2" w:rsidP="005906BE">
            <w:pPr>
              <w:autoSpaceDE w:val="0"/>
              <w:autoSpaceDN w:val="0"/>
              <w:adjustRightInd w:val="0"/>
              <w:rPr>
                <w:i/>
                <w:sz w:val="18"/>
                <w:szCs w:val="18"/>
              </w:rPr>
            </w:pPr>
            <w:r w:rsidRPr="00320541">
              <w:rPr>
                <w:b/>
                <w:sz w:val="18"/>
                <w:szCs w:val="18"/>
              </w:rPr>
              <w:t>World Bank / NDF study on Addressing the Vulnerability of Africa’s Infrastructure</w:t>
            </w:r>
            <w:r w:rsidRPr="00320541">
              <w:rPr>
                <w:sz w:val="18"/>
                <w:szCs w:val="18"/>
              </w:rPr>
              <w:t>: The World Bank and the Nordic Development Fund are co-financing a study on</w:t>
            </w:r>
            <w:r w:rsidRPr="00320541">
              <w:rPr>
                <w:b/>
                <w:sz w:val="18"/>
                <w:szCs w:val="18"/>
              </w:rPr>
              <w:t xml:space="preserve"> </w:t>
            </w:r>
            <w:r w:rsidRPr="00320541">
              <w:rPr>
                <w:i/>
                <w:sz w:val="18"/>
                <w:szCs w:val="18"/>
              </w:rPr>
              <w:t>Addressing the Vulnerability of Africa’s Infrastructure</w:t>
            </w:r>
            <w:r w:rsidRPr="00320541">
              <w:rPr>
                <w:sz w:val="18"/>
                <w:szCs w:val="18"/>
              </w:rPr>
              <w:t>, which will build on and expand the scope of the Africa Infrastructure Diagnostics Study (AICD) by focusing more specifically on climate change resilience. In particular, the study aims to provide tools for quantifying the potential cost impacts of climate change on infrastructure in a systematic way, and will highlight the strategic implications of climate change for decision-taking in the infrastructure sectors.</w:t>
            </w:r>
          </w:p>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170" w:type="pct"/>
            <w:gridSpan w:val="2"/>
          </w:tcPr>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203" w:type="pct"/>
          </w:tcPr>
          <w:p w:rsidR="004B63D2" w:rsidRPr="00320541" w:rsidRDefault="004B63D2" w:rsidP="00F04404">
            <w:pPr>
              <w:contextualSpacing/>
              <w:rPr>
                <w:sz w:val="18"/>
                <w:szCs w:val="18"/>
              </w:rPr>
            </w:pPr>
          </w:p>
        </w:tc>
        <w:tc>
          <w:tcPr>
            <w:tcW w:w="1848" w:type="pct"/>
          </w:tcPr>
          <w:p w:rsidR="004B63D2" w:rsidRPr="00320541" w:rsidRDefault="004B63D2" w:rsidP="00F04404">
            <w:pPr>
              <w:contextualSpacing/>
              <w:rPr>
                <w:sz w:val="18"/>
                <w:szCs w:val="18"/>
              </w:rPr>
            </w:pPr>
          </w:p>
        </w:tc>
      </w:tr>
      <w:tr w:rsidR="004B63D2" w:rsidRPr="00320541" w:rsidTr="00ED2ECD">
        <w:trPr>
          <w:cantSplit/>
        </w:trPr>
        <w:tc>
          <w:tcPr>
            <w:tcW w:w="717" w:type="pct"/>
            <w:vMerge w:val="restart"/>
          </w:tcPr>
          <w:p w:rsidR="004B63D2" w:rsidRPr="00320541" w:rsidRDefault="004B63D2" w:rsidP="00F04404">
            <w:pPr>
              <w:contextualSpacing/>
              <w:rPr>
                <w:sz w:val="18"/>
                <w:szCs w:val="18"/>
              </w:rPr>
            </w:pPr>
          </w:p>
        </w:tc>
        <w:tc>
          <w:tcPr>
            <w:tcW w:w="1555" w:type="pct"/>
          </w:tcPr>
          <w:p w:rsidR="004B63D2" w:rsidRPr="00320541" w:rsidRDefault="004B63D2" w:rsidP="005906BE">
            <w:pPr>
              <w:autoSpaceDE w:val="0"/>
              <w:autoSpaceDN w:val="0"/>
              <w:adjustRightInd w:val="0"/>
              <w:rPr>
                <w:sz w:val="18"/>
                <w:szCs w:val="18"/>
              </w:rPr>
            </w:pPr>
            <w:r w:rsidRPr="00320541">
              <w:rPr>
                <w:b/>
                <w:sz w:val="18"/>
                <w:szCs w:val="18"/>
              </w:rPr>
              <w:t xml:space="preserve">World Bank/Nordic Development Fund on Senegal Transport and Urban Mobility Project - Integrating Climate Change Adaptation to Transport: </w:t>
            </w:r>
            <w:r w:rsidRPr="00320541">
              <w:rPr>
                <w:sz w:val="18"/>
                <w:szCs w:val="18"/>
              </w:rPr>
              <w:t>The Nordic Development Fund is working in partnership with the World Bank in the Senegal Transport and Urban Mobility Project. The main purpose of the Nordic Fund’s intervention is to integrate a climate change adaptation dimension into the WB-funded project, and to develop the capacity of relevant stakeholders in Senegal to climate-proof road infrastructure planning, design and maintenance.</w:t>
            </w:r>
          </w:p>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170" w:type="pct"/>
            <w:gridSpan w:val="2"/>
          </w:tcPr>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203" w:type="pct"/>
          </w:tcPr>
          <w:p w:rsidR="004B63D2" w:rsidRPr="00320541" w:rsidRDefault="004B63D2" w:rsidP="00F04404">
            <w:pPr>
              <w:contextualSpacing/>
              <w:rPr>
                <w:sz w:val="18"/>
                <w:szCs w:val="18"/>
              </w:rPr>
            </w:pPr>
          </w:p>
        </w:tc>
        <w:tc>
          <w:tcPr>
            <w:tcW w:w="1848" w:type="pct"/>
          </w:tcPr>
          <w:p w:rsidR="004B63D2" w:rsidRPr="00320541" w:rsidRDefault="004B63D2" w:rsidP="00F04404">
            <w:pPr>
              <w:contextualSpacing/>
              <w:rPr>
                <w:sz w:val="18"/>
                <w:szCs w:val="18"/>
              </w:rPr>
            </w:pPr>
          </w:p>
        </w:tc>
      </w:tr>
      <w:tr w:rsidR="004B63D2" w:rsidRPr="00320541" w:rsidTr="00ED2ECD">
        <w:tc>
          <w:tcPr>
            <w:tcW w:w="717" w:type="pct"/>
            <w:vMerge/>
          </w:tcPr>
          <w:p w:rsidR="004B63D2" w:rsidRPr="00320541" w:rsidRDefault="004B63D2" w:rsidP="00F04404">
            <w:pPr>
              <w:contextualSpacing/>
              <w:rPr>
                <w:sz w:val="18"/>
                <w:szCs w:val="18"/>
              </w:rPr>
            </w:pPr>
          </w:p>
        </w:tc>
        <w:tc>
          <w:tcPr>
            <w:tcW w:w="1555" w:type="pct"/>
          </w:tcPr>
          <w:p w:rsidR="004B63D2" w:rsidRPr="00320541" w:rsidRDefault="004B63D2" w:rsidP="005906BE">
            <w:pPr>
              <w:autoSpaceDE w:val="0"/>
              <w:autoSpaceDN w:val="0"/>
              <w:adjustRightInd w:val="0"/>
              <w:rPr>
                <w:sz w:val="18"/>
                <w:szCs w:val="18"/>
              </w:rPr>
            </w:pPr>
            <w:r w:rsidRPr="00320541">
              <w:rPr>
                <w:sz w:val="18"/>
                <w:szCs w:val="18"/>
              </w:rPr>
              <w:t xml:space="preserve">Presentation of the new </w:t>
            </w:r>
            <w:r w:rsidRPr="00320541">
              <w:rPr>
                <w:b/>
                <w:sz w:val="18"/>
                <w:szCs w:val="18"/>
              </w:rPr>
              <w:t xml:space="preserve">World Bank flagship report: </w:t>
            </w:r>
            <w:r w:rsidRPr="00320541">
              <w:rPr>
                <w:b/>
                <w:i/>
                <w:sz w:val="18"/>
                <w:szCs w:val="18"/>
              </w:rPr>
              <w:t>Turning the Right Corner: Ensuring Development through a Low-Carbon Transport Sector</w:t>
            </w:r>
            <w:r w:rsidRPr="00320541">
              <w:rPr>
                <w:b/>
                <w:sz w:val="18"/>
                <w:szCs w:val="18"/>
              </w:rPr>
              <w:t xml:space="preserve"> and potential applications to the African context</w:t>
            </w:r>
            <w:r w:rsidRPr="00320541">
              <w:rPr>
                <w:sz w:val="18"/>
                <w:szCs w:val="18"/>
              </w:rPr>
              <w:t>: This flagship report emphasizes that developing countries need to transition to a low-carbon transport sector now to avoid locking themselves into an unsustainable and costly future. It outlines how policy makers and development practitioners can combine policies to reduce greenhouse gas emissions with broader sector reforms to reduce local air pollution, road safety risks, and congestion - thereby generating new fiscal resources to help finance the transition to low-carbon mobility. The session would reflect on ways to integrate the strategic directions outlined in the report into evaluative frameworks for policies and projects in African countries.</w:t>
            </w:r>
          </w:p>
          <w:p w:rsidR="004B63D2" w:rsidRPr="00320541" w:rsidRDefault="004B63D2" w:rsidP="005906BE">
            <w:pPr>
              <w:autoSpaceDE w:val="0"/>
              <w:autoSpaceDN w:val="0"/>
              <w:adjustRightInd w:val="0"/>
              <w:rPr>
                <w:sz w:val="18"/>
                <w:szCs w:val="18"/>
              </w:rPr>
            </w:pPr>
          </w:p>
        </w:tc>
        <w:tc>
          <w:tcPr>
            <w:tcW w:w="169" w:type="pct"/>
            <w:gridSpan w:val="2"/>
          </w:tcPr>
          <w:p w:rsidR="004B63D2" w:rsidRPr="00320541" w:rsidRDefault="004B63D2" w:rsidP="00F04404">
            <w:pPr>
              <w:contextualSpacing/>
              <w:rPr>
                <w:sz w:val="18"/>
                <w:szCs w:val="18"/>
              </w:rPr>
            </w:pPr>
          </w:p>
        </w:tc>
        <w:tc>
          <w:tcPr>
            <w:tcW w:w="170" w:type="pct"/>
            <w:gridSpan w:val="2"/>
          </w:tcPr>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169" w:type="pct"/>
            <w:gridSpan w:val="2"/>
          </w:tcPr>
          <w:p w:rsidR="004B63D2" w:rsidRPr="00320541" w:rsidRDefault="004B63D2" w:rsidP="00F04404">
            <w:pPr>
              <w:contextualSpacing/>
              <w:rPr>
                <w:sz w:val="18"/>
                <w:szCs w:val="18"/>
              </w:rPr>
            </w:pPr>
          </w:p>
        </w:tc>
        <w:tc>
          <w:tcPr>
            <w:tcW w:w="203" w:type="pct"/>
          </w:tcPr>
          <w:p w:rsidR="004B63D2" w:rsidRPr="00320541" w:rsidRDefault="004B63D2" w:rsidP="00F04404">
            <w:pPr>
              <w:contextualSpacing/>
              <w:rPr>
                <w:sz w:val="18"/>
                <w:szCs w:val="18"/>
              </w:rPr>
            </w:pPr>
          </w:p>
        </w:tc>
        <w:tc>
          <w:tcPr>
            <w:tcW w:w="1848" w:type="pct"/>
          </w:tcPr>
          <w:p w:rsidR="004B63D2" w:rsidRPr="00320541" w:rsidRDefault="004B63D2" w:rsidP="00F04404">
            <w:pPr>
              <w:contextualSpacing/>
              <w:rPr>
                <w:sz w:val="18"/>
                <w:szCs w:val="18"/>
              </w:rPr>
            </w:pPr>
          </w:p>
        </w:tc>
      </w:tr>
    </w:tbl>
    <w:p w:rsidR="004761C5" w:rsidRDefault="004761C5" w:rsidP="001F100F">
      <w:pPr>
        <w:spacing w:line="240" w:lineRule="auto"/>
        <w:ind w:left="720" w:firstLine="720"/>
        <w:rPr>
          <w:rFonts w:ascii="Helv" w:hAnsi="Helv" w:cs="Helv"/>
          <w:b/>
          <w:i/>
          <w:color w:val="000000"/>
          <w:sz w:val="20"/>
          <w:szCs w:val="20"/>
        </w:rPr>
        <w:sectPr w:rsidR="004761C5" w:rsidSect="00087517">
          <w:pgSz w:w="15840" w:h="12240" w:orient="landscape"/>
          <w:pgMar w:top="1440" w:right="1440" w:bottom="1440" w:left="1440" w:header="720" w:footer="720" w:gutter="0"/>
          <w:cols w:space="720"/>
          <w:docGrid w:linePitch="360"/>
        </w:sectPr>
      </w:pPr>
    </w:p>
    <w:p w:rsidR="001F100F" w:rsidRPr="004761C5" w:rsidRDefault="001F100F" w:rsidP="004761C5">
      <w:pPr>
        <w:spacing w:after="60" w:line="240" w:lineRule="auto"/>
        <w:rPr>
          <w:rFonts w:cstheme="minorHAnsi"/>
          <w:b/>
          <w:i/>
          <w:color w:val="000000"/>
          <w:sz w:val="24"/>
          <w:szCs w:val="24"/>
        </w:rPr>
      </w:pPr>
      <w:r w:rsidRPr="004761C5">
        <w:rPr>
          <w:rFonts w:cstheme="minorHAnsi"/>
          <w:b/>
          <w:i/>
          <w:color w:val="000000"/>
          <w:sz w:val="24"/>
          <w:szCs w:val="24"/>
        </w:rPr>
        <w:lastRenderedPageBreak/>
        <w:t xml:space="preserve">Creating the proper environment for making roads safe in Africa </w:t>
      </w:r>
    </w:p>
    <w:p w:rsidR="005906BE" w:rsidRPr="006D5631" w:rsidRDefault="005906BE" w:rsidP="004761C5">
      <w:pPr>
        <w:spacing w:before="60" w:after="100" w:line="240" w:lineRule="auto"/>
        <w:rPr>
          <w:sz w:val="20"/>
          <w:szCs w:val="20"/>
        </w:rPr>
      </w:pPr>
      <w:r w:rsidRPr="006D5631">
        <w:rPr>
          <w:sz w:val="20"/>
          <w:szCs w:val="20"/>
        </w:rPr>
        <w:t xml:space="preserve">Presentations and discussions on this topic </w:t>
      </w:r>
      <w:r w:rsidR="00546B57" w:rsidRPr="006D5631">
        <w:rPr>
          <w:sz w:val="20"/>
          <w:szCs w:val="20"/>
        </w:rPr>
        <w:t>emphasize</w:t>
      </w:r>
      <w:r w:rsidRPr="006D5631">
        <w:rPr>
          <w:sz w:val="20"/>
          <w:szCs w:val="20"/>
        </w:rPr>
        <w:t xml:space="preserve"> on the importance of approaching </w:t>
      </w:r>
      <w:r w:rsidRPr="006D5631">
        <w:rPr>
          <w:i/>
          <w:sz w:val="20"/>
          <w:szCs w:val="20"/>
        </w:rPr>
        <w:t>road safety as a public health and multi</w:t>
      </w:r>
      <w:r w:rsidR="00546B57" w:rsidRPr="006D5631">
        <w:rPr>
          <w:i/>
          <w:sz w:val="20"/>
          <w:szCs w:val="20"/>
        </w:rPr>
        <w:t>-</w:t>
      </w:r>
      <w:proofErr w:type="spellStart"/>
      <w:r w:rsidRPr="006D5631">
        <w:rPr>
          <w:i/>
          <w:sz w:val="20"/>
          <w:szCs w:val="20"/>
        </w:rPr>
        <w:t>sectoral</w:t>
      </w:r>
      <w:proofErr w:type="spellEnd"/>
      <w:r w:rsidRPr="006D5631">
        <w:rPr>
          <w:i/>
          <w:sz w:val="20"/>
          <w:szCs w:val="20"/>
        </w:rPr>
        <w:t xml:space="preserve"> issue</w:t>
      </w:r>
      <w:r w:rsidRPr="006D5631">
        <w:rPr>
          <w:sz w:val="20"/>
          <w:szCs w:val="20"/>
        </w:rPr>
        <w:t>.</w:t>
      </w:r>
    </w:p>
    <w:tbl>
      <w:tblPr>
        <w:tblStyle w:val="TableGrid"/>
        <w:tblW w:w="5000" w:type="pct"/>
        <w:tblLayout w:type="fixed"/>
        <w:tblLook w:val="04A0" w:firstRow="1" w:lastRow="0" w:firstColumn="1" w:lastColumn="0" w:noHBand="0" w:noVBand="1"/>
      </w:tblPr>
      <w:tblGrid>
        <w:gridCol w:w="2368"/>
        <w:gridCol w:w="4190"/>
        <w:gridCol w:w="422"/>
        <w:gridCol w:w="422"/>
        <w:gridCol w:w="422"/>
        <w:gridCol w:w="422"/>
        <w:gridCol w:w="424"/>
        <w:gridCol w:w="4506"/>
      </w:tblGrid>
      <w:tr w:rsidR="00763052" w:rsidRPr="00320541" w:rsidTr="004761C5">
        <w:trPr>
          <w:cantSplit/>
          <w:tblHeader/>
        </w:trPr>
        <w:tc>
          <w:tcPr>
            <w:tcW w:w="899" w:type="pct"/>
            <w:vMerge w:val="restart"/>
            <w:shd w:val="clear" w:color="auto" w:fill="E5DFEC" w:themeFill="accent4" w:themeFillTint="33"/>
            <w:vAlign w:val="center"/>
          </w:tcPr>
          <w:p w:rsidR="00763052" w:rsidRPr="00763052" w:rsidRDefault="00763052" w:rsidP="00763052">
            <w:pPr>
              <w:contextualSpacing/>
              <w:jc w:val="center"/>
              <w:rPr>
                <w:b/>
                <w:i/>
                <w:sz w:val="18"/>
                <w:szCs w:val="18"/>
              </w:rPr>
            </w:pPr>
            <w:r w:rsidRPr="00763052">
              <w:rPr>
                <w:b/>
                <w:i/>
                <w:sz w:val="18"/>
                <w:szCs w:val="18"/>
              </w:rPr>
              <w:t>Title of the session</w:t>
            </w:r>
          </w:p>
        </w:tc>
        <w:tc>
          <w:tcPr>
            <w:tcW w:w="1590" w:type="pct"/>
            <w:vMerge w:val="restart"/>
            <w:shd w:val="clear" w:color="auto" w:fill="E5DFEC" w:themeFill="accent4" w:themeFillTint="33"/>
            <w:vAlign w:val="center"/>
          </w:tcPr>
          <w:p w:rsidR="00763052" w:rsidRPr="00763052" w:rsidRDefault="00763052" w:rsidP="00763052">
            <w:pPr>
              <w:contextualSpacing/>
              <w:jc w:val="center"/>
              <w:rPr>
                <w:b/>
                <w:i/>
                <w:sz w:val="18"/>
                <w:szCs w:val="18"/>
              </w:rPr>
            </w:pPr>
            <w:r w:rsidRPr="00763052">
              <w:rPr>
                <w:b/>
                <w:i/>
                <w:sz w:val="18"/>
                <w:szCs w:val="18"/>
              </w:rPr>
              <w:t>Description</w:t>
            </w:r>
          </w:p>
        </w:tc>
        <w:tc>
          <w:tcPr>
            <w:tcW w:w="801" w:type="pct"/>
            <w:gridSpan w:val="5"/>
            <w:shd w:val="clear" w:color="auto" w:fill="E5DFEC" w:themeFill="accent4" w:themeFillTint="33"/>
            <w:vAlign w:val="center"/>
          </w:tcPr>
          <w:p w:rsidR="00763052" w:rsidRDefault="00763052" w:rsidP="00763052">
            <w:pPr>
              <w:contextualSpacing/>
              <w:jc w:val="center"/>
              <w:rPr>
                <w:b/>
                <w:i/>
                <w:sz w:val="18"/>
                <w:szCs w:val="18"/>
              </w:rPr>
            </w:pPr>
            <w:r w:rsidRPr="00763052">
              <w:rPr>
                <w:b/>
                <w:i/>
                <w:sz w:val="18"/>
                <w:szCs w:val="18"/>
              </w:rPr>
              <w:t xml:space="preserve">How would you rank the session? (Importance/ </w:t>
            </w:r>
            <w:r>
              <w:rPr>
                <w:b/>
                <w:i/>
                <w:sz w:val="18"/>
                <w:szCs w:val="18"/>
              </w:rPr>
              <w:t>Relevance of</w:t>
            </w:r>
          </w:p>
          <w:p w:rsidR="00763052" w:rsidRPr="00763052" w:rsidRDefault="00763052" w:rsidP="00763052">
            <w:pPr>
              <w:contextualSpacing/>
              <w:jc w:val="center"/>
              <w:rPr>
                <w:b/>
                <w:i/>
                <w:sz w:val="18"/>
                <w:szCs w:val="18"/>
              </w:rPr>
            </w:pPr>
            <w:r w:rsidRPr="00763052">
              <w:rPr>
                <w:b/>
                <w:i/>
                <w:sz w:val="18"/>
                <w:szCs w:val="18"/>
              </w:rPr>
              <w:t>the topic)</w:t>
            </w:r>
          </w:p>
        </w:tc>
        <w:tc>
          <w:tcPr>
            <w:tcW w:w="1710" w:type="pct"/>
            <w:vMerge w:val="restart"/>
            <w:shd w:val="clear" w:color="auto" w:fill="E5DFEC" w:themeFill="accent4" w:themeFillTint="33"/>
            <w:vAlign w:val="center"/>
          </w:tcPr>
          <w:p w:rsidR="00763052" w:rsidRPr="00763052" w:rsidRDefault="00763052" w:rsidP="00763052">
            <w:pPr>
              <w:contextualSpacing/>
              <w:jc w:val="center"/>
              <w:rPr>
                <w:b/>
                <w:i/>
                <w:sz w:val="18"/>
                <w:szCs w:val="18"/>
              </w:rPr>
            </w:pPr>
            <w:r w:rsidRPr="00763052">
              <w:rPr>
                <w:b/>
                <w:i/>
                <w:sz w:val="18"/>
                <w:szCs w:val="18"/>
              </w:rPr>
              <w:t>Additional comments</w:t>
            </w:r>
          </w:p>
        </w:tc>
      </w:tr>
      <w:tr w:rsidR="00763052" w:rsidRPr="00320541" w:rsidTr="004761C5">
        <w:trPr>
          <w:cantSplit/>
          <w:trHeight w:val="107"/>
          <w:tblHeader/>
        </w:trPr>
        <w:tc>
          <w:tcPr>
            <w:tcW w:w="899" w:type="pct"/>
            <w:vMerge/>
            <w:shd w:val="clear" w:color="auto" w:fill="EEECE1" w:themeFill="background2"/>
          </w:tcPr>
          <w:p w:rsidR="00763052" w:rsidRPr="00763052" w:rsidRDefault="00763052" w:rsidP="00763052">
            <w:pPr>
              <w:contextualSpacing/>
              <w:jc w:val="center"/>
              <w:rPr>
                <w:b/>
                <w:i/>
                <w:sz w:val="18"/>
                <w:szCs w:val="18"/>
              </w:rPr>
            </w:pPr>
          </w:p>
        </w:tc>
        <w:tc>
          <w:tcPr>
            <w:tcW w:w="1590" w:type="pct"/>
            <w:vMerge/>
            <w:shd w:val="clear" w:color="auto" w:fill="EEECE1" w:themeFill="background2"/>
          </w:tcPr>
          <w:p w:rsidR="00763052" w:rsidRPr="00763052" w:rsidRDefault="00763052" w:rsidP="00763052">
            <w:pPr>
              <w:contextualSpacing/>
              <w:jc w:val="center"/>
              <w:rPr>
                <w:b/>
                <w:i/>
                <w:sz w:val="18"/>
                <w:szCs w:val="18"/>
              </w:rPr>
            </w:pPr>
          </w:p>
        </w:tc>
        <w:tc>
          <w:tcPr>
            <w:tcW w:w="160" w:type="pct"/>
            <w:shd w:val="clear" w:color="auto" w:fill="E5DFEC" w:themeFill="accent4" w:themeFillTint="33"/>
          </w:tcPr>
          <w:p w:rsidR="00763052" w:rsidRPr="00763052" w:rsidRDefault="00763052" w:rsidP="00763052">
            <w:pPr>
              <w:contextualSpacing/>
              <w:jc w:val="center"/>
              <w:rPr>
                <w:b/>
                <w:i/>
                <w:sz w:val="18"/>
                <w:szCs w:val="18"/>
              </w:rPr>
            </w:pPr>
            <w:r w:rsidRPr="00763052">
              <w:rPr>
                <w:b/>
                <w:i/>
                <w:sz w:val="18"/>
                <w:szCs w:val="18"/>
              </w:rPr>
              <w:t>0</w:t>
            </w:r>
          </w:p>
        </w:tc>
        <w:tc>
          <w:tcPr>
            <w:tcW w:w="160" w:type="pct"/>
            <w:shd w:val="clear" w:color="auto" w:fill="E5DFEC" w:themeFill="accent4" w:themeFillTint="33"/>
          </w:tcPr>
          <w:p w:rsidR="00763052" w:rsidRPr="00763052" w:rsidRDefault="00763052" w:rsidP="00763052">
            <w:pPr>
              <w:contextualSpacing/>
              <w:jc w:val="center"/>
              <w:rPr>
                <w:b/>
                <w:i/>
                <w:sz w:val="18"/>
                <w:szCs w:val="18"/>
              </w:rPr>
            </w:pPr>
            <w:r w:rsidRPr="00763052">
              <w:rPr>
                <w:b/>
                <w:i/>
                <w:sz w:val="18"/>
                <w:szCs w:val="18"/>
              </w:rPr>
              <w:t>1</w:t>
            </w:r>
          </w:p>
        </w:tc>
        <w:tc>
          <w:tcPr>
            <w:tcW w:w="160" w:type="pct"/>
            <w:shd w:val="clear" w:color="auto" w:fill="E5DFEC" w:themeFill="accent4" w:themeFillTint="33"/>
          </w:tcPr>
          <w:p w:rsidR="00763052" w:rsidRPr="00763052" w:rsidRDefault="00763052" w:rsidP="00763052">
            <w:pPr>
              <w:contextualSpacing/>
              <w:jc w:val="center"/>
              <w:rPr>
                <w:b/>
                <w:i/>
                <w:sz w:val="18"/>
                <w:szCs w:val="18"/>
              </w:rPr>
            </w:pPr>
            <w:r w:rsidRPr="00763052">
              <w:rPr>
                <w:b/>
                <w:i/>
                <w:sz w:val="18"/>
                <w:szCs w:val="18"/>
              </w:rPr>
              <w:t>2</w:t>
            </w:r>
          </w:p>
        </w:tc>
        <w:tc>
          <w:tcPr>
            <w:tcW w:w="160" w:type="pct"/>
            <w:shd w:val="clear" w:color="auto" w:fill="E5DFEC" w:themeFill="accent4" w:themeFillTint="33"/>
          </w:tcPr>
          <w:p w:rsidR="00763052" w:rsidRPr="00763052" w:rsidRDefault="00763052" w:rsidP="00763052">
            <w:pPr>
              <w:contextualSpacing/>
              <w:jc w:val="center"/>
              <w:rPr>
                <w:b/>
                <w:i/>
                <w:sz w:val="18"/>
                <w:szCs w:val="18"/>
              </w:rPr>
            </w:pPr>
            <w:r w:rsidRPr="00763052">
              <w:rPr>
                <w:b/>
                <w:i/>
                <w:sz w:val="18"/>
                <w:szCs w:val="18"/>
              </w:rPr>
              <w:t>3</w:t>
            </w:r>
          </w:p>
        </w:tc>
        <w:tc>
          <w:tcPr>
            <w:tcW w:w="161" w:type="pct"/>
            <w:shd w:val="clear" w:color="auto" w:fill="E5DFEC" w:themeFill="accent4" w:themeFillTint="33"/>
          </w:tcPr>
          <w:p w:rsidR="00763052" w:rsidRPr="00763052" w:rsidRDefault="00763052" w:rsidP="00763052">
            <w:pPr>
              <w:contextualSpacing/>
              <w:jc w:val="center"/>
              <w:rPr>
                <w:b/>
                <w:i/>
                <w:sz w:val="18"/>
                <w:szCs w:val="18"/>
              </w:rPr>
            </w:pPr>
            <w:r w:rsidRPr="00763052">
              <w:rPr>
                <w:b/>
                <w:i/>
                <w:sz w:val="18"/>
                <w:szCs w:val="18"/>
              </w:rPr>
              <w:t>4</w:t>
            </w:r>
          </w:p>
        </w:tc>
        <w:tc>
          <w:tcPr>
            <w:tcW w:w="1710" w:type="pct"/>
            <w:vMerge/>
            <w:shd w:val="clear" w:color="auto" w:fill="EEECE1" w:themeFill="background2"/>
          </w:tcPr>
          <w:p w:rsidR="00763052" w:rsidRPr="00763052" w:rsidRDefault="00763052" w:rsidP="00763052">
            <w:pPr>
              <w:contextualSpacing/>
              <w:jc w:val="center"/>
              <w:rPr>
                <w:b/>
                <w:i/>
                <w:sz w:val="18"/>
                <w:szCs w:val="18"/>
              </w:rPr>
            </w:pPr>
          </w:p>
        </w:tc>
      </w:tr>
      <w:tr w:rsidR="00320541" w:rsidRPr="00320541" w:rsidTr="003A19AD">
        <w:tc>
          <w:tcPr>
            <w:tcW w:w="899" w:type="pct"/>
          </w:tcPr>
          <w:p w:rsidR="005906BE" w:rsidRPr="00320541" w:rsidRDefault="005906BE" w:rsidP="00F04404">
            <w:pPr>
              <w:contextualSpacing/>
              <w:rPr>
                <w:sz w:val="18"/>
                <w:szCs w:val="18"/>
              </w:rPr>
            </w:pPr>
            <w:r w:rsidRPr="00320541">
              <w:rPr>
                <w:b/>
                <w:sz w:val="18"/>
                <w:szCs w:val="18"/>
              </w:rPr>
              <w:t xml:space="preserve">SSATP’s </w:t>
            </w:r>
            <w:r w:rsidRPr="00320541">
              <w:rPr>
                <w:b/>
                <w:i/>
                <w:sz w:val="18"/>
                <w:szCs w:val="18"/>
              </w:rPr>
              <w:t>Guidelines for Mainstreaming Road Safety in Regional Trade Road Corridors</w:t>
            </w:r>
          </w:p>
        </w:tc>
        <w:tc>
          <w:tcPr>
            <w:tcW w:w="1590" w:type="pct"/>
          </w:tcPr>
          <w:p w:rsidR="005906BE" w:rsidRDefault="005906BE" w:rsidP="00B310F8">
            <w:pPr>
              <w:contextualSpacing/>
              <w:rPr>
                <w:sz w:val="18"/>
                <w:szCs w:val="18"/>
              </w:rPr>
            </w:pPr>
            <w:r w:rsidRPr="00320541">
              <w:rPr>
                <w:sz w:val="18"/>
                <w:szCs w:val="18"/>
              </w:rPr>
              <w:t xml:space="preserve">Road safety investments in Trade Regional Corridors (RTRCs) present the best opportunities </w:t>
            </w:r>
            <w:r w:rsidR="00B310F8">
              <w:rPr>
                <w:sz w:val="18"/>
                <w:szCs w:val="18"/>
              </w:rPr>
              <w:t xml:space="preserve">of impact </w:t>
            </w:r>
            <w:r w:rsidRPr="00320541">
              <w:rPr>
                <w:sz w:val="18"/>
                <w:szCs w:val="18"/>
              </w:rPr>
              <w:t>for road safety interventions as these corridors typically experience the highest volumes of traffic, have high strategic priority, attract large investments, and are particularly amenable to targeted treatments. This new SSATP Working Paper is intended to serve as a guide for mainstreaming road safety in regional trade corridor investment programs, and provides hands-on recommendations on how to identify, prepare and implement effective road safety projects in RTRCs, based on global best practice experience.</w:t>
            </w:r>
          </w:p>
          <w:p w:rsidR="004761C5" w:rsidRPr="00320541" w:rsidRDefault="004761C5" w:rsidP="00B310F8">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1" w:type="pct"/>
          </w:tcPr>
          <w:p w:rsidR="005906BE" w:rsidRPr="00320541" w:rsidRDefault="005906BE" w:rsidP="00F04404">
            <w:pPr>
              <w:contextualSpacing/>
              <w:rPr>
                <w:sz w:val="18"/>
                <w:szCs w:val="18"/>
              </w:rPr>
            </w:pPr>
          </w:p>
        </w:tc>
        <w:tc>
          <w:tcPr>
            <w:tcW w:w="1710" w:type="pct"/>
          </w:tcPr>
          <w:p w:rsidR="005906BE" w:rsidRPr="00320541" w:rsidRDefault="005906BE" w:rsidP="00F04404">
            <w:pPr>
              <w:contextualSpacing/>
              <w:rPr>
                <w:sz w:val="18"/>
                <w:szCs w:val="18"/>
              </w:rPr>
            </w:pPr>
          </w:p>
        </w:tc>
      </w:tr>
      <w:tr w:rsidR="00320541" w:rsidRPr="00320541" w:rsidTr="003A19AD">
        <w:tc>
          <w:tcPr>
            <w:tcW w:w="899" w:type="pct"/>
          </w:tcPr>
          <w:p w:rsidR="005906BE" w:rsidRPr="00320541" w:rsidRDefault="005906BE" w:rsidP="00F04404">
            <w:pPr>
              <w:contextualSpacing/>
              <w:rPr>
                <w:sz w:val="18"/>
                <w:szCs w:val="18"/>
              </w:rPr>
            </w:pPr>
            <w:r w:rsidRPr="00320541">
              <w:rPr>
                <w:b/>
                <w:sz w:val="18"/>
                <w:szCs w:val="18"/>
              </w:rPr>
              <w:t>Road safety initiatives on the Abidjan-Lagos corridor</w:t>
            </w:r>
          </w:p>
        </w:tc>
        <w:tc>
          <w:tcPr>
            <w:tcW w:w="1590" w:type="pct"/>
          </w:tcPr>
          <w:p w:rsidR="005906BE" w:rsidRDefault="00B310F8" w:rsidP="00F04404">
            <w:pPr>
              <w:contextualSpacing/>
              <w:rPr>
                <w:sz w:val="18"/>
                <w:szCs w:val="18"/>
              </w:rPr>
            </w:pPr>
            <w:r>
              <w:rPr>
                <w:sz w:val="18"/>
                <w:szCs w:val="18"/>
              </w:rPr>
              <w:t>T</w:t>
            </w:r>
            <w:r w:rsidR="005906BE" w:rsidRPr="00320541">
              <w:rPr>
                <w:sz w:val="18"/>
                <w:szCs w:val="18"/>
              </w:rPr>
              <w:t xml:space="preserve">he Ghana Highway Agency </w:t>
            </w:r>
            <w:r>
              <w:rPr>
                <w:sz w:val="18"/>
                <w:szCs w:val="18"/>
              </w:rPr>
              <w:t xml:space="preserve">has commissioned a study </w:t>
            </w:r>
            <w:r w:rsidR="005906BE" w:rsidRPr="00320541">
              <w:rPr>
                <w:sz w:val="18"/>
                <w:szCs w:val="18"/>
              </w:rPr>
              <w:t>to carry out a detailed assessment of road safety hazards along the Abidjan-Lagos corridor, recommend quick wins that could decrease the incidence of road crashes in the short term, make recommendations for long-term road safety improvements and propose new architectural and engineering standards for future road construction.</w:t>
            </w:r>
          </w:p>
          <w:p w:rsidR="004761C5" w:rsidRPr="00320541" w:rsidRDefault="004761C5"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1" w:type="pct"/>
          </w:tcPr>
          <w:p w:rsidR="005906BE" w:rsidRPr="00320541" w:rsidRDefault="005906BE" w:rsidP="00F04404">
            <w:pPr>
              <w:contextualSpacing/>
              <w:rPr>
                <w:sz w:val="18"/>
                <w:szCs w:val="18"/>
              </w:rPr>
            </w:pPr>
          </w:p>
        </w:tc>
        <w:tc>
          <w:tcPr>
            <w:tcW w:w="1710" w:type="pct"/>
          </w:tcPr>
          <w:p w:rsidR="005906BE" w:rsidRPr="00320541" w:rsidRDefault="005906BE" w:rsidP="00F04404">
            <w:pPr>
              <w:contextualSpacing/>
              <w:rPr>
                <w:sz w:val="18"/>
                <w:szCs w:val="18"/>
              </w:rPr>
            </w:pPr>
          </w:p>
        </w:tc>
      </w:tr>
      <w:tr w:rsidR="00320541" w:rsidRPr="00320541" w:rsidTr="003A19AD">
        <w:trPr>
          <w:cantSplit/>
        </w:trPr>
        <w:tc>
          <w:tcPr>
            <w:tcW w:w="899" w:type="pct"/>
          </w:tcPr>
          <w:p w:rsidR="005906BE" w:rsidRPr="00320541" w:rsidRDefault="005906BE" w:rsidP="00F04404">
            <w:pPr>
              <w:contextualSpacing/>
              <w:rPr>
                <w:sz w:val="18"/>
                <w:szCs w:val="18"/>
              </w:rPr>
            </w:pPr>
            <w:r w:rsidRPr="00320541">
              <w:rPr>
                <w:b/>
                <w:sz w:val="18"/>
                <w:szCs w:val="18"/>
              </w:rPr>
              <w:t>Increasing road safety for commercial freight in Tanzania and along the Central Corridor</w:t>
            </w:r>
          </w:p>
        </w:tc>
        <w:tc>
          <w:tcPr>
            <w:tcW w:w="1590" w:type="pct"/>
          </w:tcPr>
          <w:p w:rsidR="004761C5" w:rsidRPr="004761C5" w:rsidRDefault="005906BE" w:rsidP="004761C5">
            <w:pPr>
              <w:contextualSpacing/>
              <w:rPr>
                <w:sz w:val="18"/>
                <w:szCs w:val="18"/>
              </w:rPr>
            </w:pPr>
            <w:r w:rsidRPr="004761C5">
              <w:rPr>
                <w:sz w:val="18"/>
                <w:szCs w:val="18"/>
              </w:rPr>
              <w:t>SSATP will soon release a study on increasing road safety for commercial freight in Tanzania and along the Central Corridor (for the portion Tanzania, Rwanda and Burundi). The study primarily looks into achieving better cooperation between road transport operators and public authorities, improving the qualifications of truck drivers, promoting the dissemination of good practices among transport operators and their staff, and minimizing the risks caused by the change of driving side between the different countries of the Central Corridor</w:t>
            </w:r>
          </w:p>
          <w:p w:rsidR="005906BE" w:rsidRPr="004761C5" w:rsidRDefault="005906BE" w:rsidP="00F04404">
            <w:pPr>
              <w:contextualSpacing/>
              <w:rPr>
                <w:sz w:val="17"/>
                <w:szCs w:val="17"/>
              </w:rPr>
            </w:pPr>
            <w:r w:rsidRPr="004761C5">
              <w:rPr>
                <w:sz w:val="18"/>
                <w:szCs w:val="18"/>
              </w:rPr>
              <w:t>.</w:t>
            </w: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1" w:type="pct"/>
          </w:tcPr>
          <w:p w:rsidR="005906BE" w:rsidRPr="00320541" w:rsidRDefault="005906BE" w:rsidP="00F04404">
            <w:pPr>
              <w:contextualSpacing/>
              <w:rPr>
                <w:sz w:val="18"/>
                <w:szCs w:val="18"/>
              </w:rPr>
            </w:pPr>
          </w:p>
        </w:tc>
        <w:tc>
          <w:tcPr>
            <w:tcW w:w="1710" w:type="pct"/>
          </w:tcPr>
          <w:p w:rsidR="005906BE" w:rsidRPr="00320541" w:rsidRDefault="005906BE" w:rsidP="00F04404">
            <w:pPr>
              <w:contextualSpacing/>
              <w:rPr>
                <w:sz w:val="18"/>
                <w:szCs w:val="18"/>
              </w:rPr>
            </w:pPr>
          </w:p>
        </w:tc>
      </w:tr>
      <w:tr w:rsidR="00320541" w:rsidRPr="00320541" w:rsidTr="003A19AD">
        <w:trPr>
          <w:cantSplit/>
        </w:trPr>
        <w:tc>
          <w:tcPr>
            <w:tcW w:w="899" w:type="pct"/>
          </w:tcPr>
          <w:p w:rsidR="005906BE" w:rsidRPr="00320541" w:rsidRDefault="005906BE" w:rsidP="00F04404">
            <w:pPr>
              <w:contextualSpacing/>
              <w:rPr>
                <w:sz w:val="18"/>
                <w:szCs w:val="18"/>
              </w:rPr>
            </w:pPr>
            <w:r w:rsidRPr="00320541">
              <w:rPr>
                <w:b/>
                <w:sz w:val="18"/>
                <w:szCs w:val="18"/>
              </w:rPr>
              <w:lastRenderedPageBreak/>
              <w:t>Senegal Road Safety strategy</w:t>
            </w:r>
          </w:p>
        </w:tc>
        <w:tc>
          <w:tcPr>
            <w:tcW w:w="1590" w:type="pct"/>
          </w:tcPr>
          <w:p w:rsidR="005906BE" w:rsidRDefault="005906BE" w:rsidP="00F04404">
            <w:pPr>
              <w:contextualSpacing/>
              <w:rPr>
                <w:sz w:val="18"/>
                <w:szCs w:val="18"/>
              </w:rPr>
            </w:pPr>
            <w:r w:rsidRPr="00320541">
              <w:rPr>
                <w:sz w:val="18"/>
                <w:szCs w:val="18"/>
              </w:rPr>
              <w:t>Senegal offers an interesting example of pro-active and ambitious road safety policy in the Africa region. Last year, the Senegalese government adopted a comprehensive “matrix of actions and priority measures for road safety” structured around 9 strategic priorities. The strategy aims to reduce the overall number of deaths and serious injuries on the country’s roads by 35% within 10 years. During this session, key stakeholders would share information on the implementation of the project, preliminary results, next steps, and provide input on the possibility to replicate this type of road safety strategy in other African countries.</w:t>
            </w:r>
          </w:p>
          <w:p w:rsidR="004761C5" w:rsidRPr="00320541" w:rsidRDefault="004761C5"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1" w:type="pct"/>
          </w:tcPr>
          <w:p w:rsidR="005906BE" w:rsidRPr="00320541" w:rsidRDefault="005906BE" w:rsidP="00F04404">
            <w:pPr>
              <w:contextualSpacing/>
              <w:rPr>
                <w:sz w:val="18"/>
                <w:szCs w:val="18"/>
              </w:rPr>
            </w:pPr>
          </w:p>
        </w:tc>
        <w:tc>
          <w:tcPr>
            <w:tcW w:w="1710" w:type="pct"/>
          </w:tcPr>
          <w:p w:rsidR="005906BE" w:rsidRPr="00320541" w:rsidRDefault="005906BE" w:rsidP="00F04404">
            <w:pPr>
              <w:contextualSpacing/>
              <w:rPr>
                <w:sz w:val="18"/>
                <w:szCs w:val="18"/>
              </w:rPr>
            </w:pPr>
          </w:p>
        </w:tc>
      </w:tr>
      <w:tr w:rsidR="00320541" w:rsidRPr="00320541" w:rsidTr="003A19AD">
        <w:tc>
          <w:tcPr>
            <w:tcW w:w="899" w:type="pct"/>
          </w:tcPr>
          <w:p w:rsidR="005906BE" w:rsidRPr="00320541" w:rsidRDefault="005906BE" w:rsidP="00F04404">
            <w:pPr>
              <w:contextualSpacing/>
              <w:rPr>
                <w:sz w:val="18"/>
                <w:szCs w:val="18"/>
              </w:rPr>
            </w:pPr>
            <w:r w:rsidRPr="00320541">
              <w:rPr>
                <w:b/>
                <w:sz w:val="18"/>
                <w:szCs w:val="18"/>
              </w:rPr>
              <w:t>Safe Corridor Intervention in Zambia</w:t>
            </w:r>
          </w:p>
        </w:tc>
        <w:tc>
          <w:tcPr>
            <w:tcW w:w="1590" w:type="pct"/>
          </w:tcPr>
          <w:p w:rsidR="005906BE" w:rsidRDefault="005906BE" w:rsidP="00F04404">
            <w:pPr>
              <w:contextualSpacing/>
              <w:rPr>
                <w:sz w:val="18"/>
                <w:szCs w:val="18"/>
              </w:rPr>
            </w:pPr>
            <w:r w:rsidRPr="00320541">
              <w:rPr>
                <w:sz w:val="18"/>
                <w:szCs w:val="18"/>
              </w:rPr>
              <w:t>The World Bank and SSATP are carrying out a safe corridor intervention on a pilot basis on the Lusaka-</w:t>
            </w:r>
            <w:proofErr w:type="spellStart"/>
            <w:r w:rsidRPr="00320541">
              <w:rPr>
                <w:sz w:val="18"/>
                <w:szCs w:val="18"/>
              </w:rPr>
              <w:t>Kabwe</w:t>
            </w:r>
            <w:proofErr w:type="spellEnd"/>
            <w:r w:rsidRPr="00320541">
              <w:rPr>
                <w:sz w:val="18"/>
                <w:szCs w:val="18"/>
              </w:rPr>
              <w:t xml:space="preserve"> road in Zambia, as an attempt to respond to the deterioration of the road safety situation in the country. The intervention involves a variety of stakeholders (national and local government agencies, Zambian police, the Red Cross Society, etc.) and will cover areas like safety engineering, traffic enforcement, public  education and outreach, while also paying special attention to post-crash services.</w:t>
            </w:r>
          </w:p>
          <w:p w:rsidR="004761C5" w:rsidRPr="00320541" w:rsidRDefault="004761C5"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1" w:type="pct"/>
          </w:tcPr>
          <w:p w:rsidR="005906BE" w:rsidRPr="00320541" w:rsidRDefault="005906BE" w:rsidP="00F04404">
            <w:pPr>
              <w:contextualSpacing/>
              <w:rPr>
                <w:sz w:val="18"/>
                <w:szCs w:val="18"/>
              </w:rPr>
            </w:pPr>
          </w:p>
        </w:tc>
        <w:tc>
          <w:tcPr>
            <w:tcW w:w="1710" w:type="pct"/>
          </w:tcPr>
          <w:p w:rsidR="005906BE" w:rsidRPr="00320541" w:rsidRDefault="005906BE" w:rsidP="00F04404">
            <w:pPr>
              <w:contextualSpacing/>
              <w:rPr>
                <w:sz w:val="18"/>
                <w:szCs w:val="18"/>
              </w:rPr>
            </w:pPr>
          </w:p>
        </w:tc>
      </w:tr>
      <w:tr w:rsidR="00320541" w:rsidRPr="00320541" w:rsidTr="003A19AD">
        <w:tc>
          <w:tcPr>
            <w:tcW w:w="899" w:type="pct"/>
          </w:tcPr>
          <w:p w:rsidR="005906BE" w:rsidRPr="00320541" w:rsidRDefault="005906BE" w:rsidP="00F04404">
            <w:pPr>
              <w:contextualSpacing/>
              <w:rPr>
                <w:sz w:val="18"/>
                <w:szCs w:val="18"/>
              </w:rPr>
            </w:pPr>
            <w:r w:rsidRPr="00320541">
              <w:rPr>
                <w:b/>
                <w:sz w:val="18"/>
                <w:szCs w:val="18"/>
              </w:rPr>
              <w:t xml:space="preserve">Presentation of </w:t>
            </w:r>
            <w:proofErr w:type="spellStart"/>
            <w:r w:rsidRPr="00320541">
              <w:rPr>
                <w:b/>
                <w:sz w:val="18"/>
                <w:szCs w:val="18"/>
              </w:rPr>
              <w:t>iRap</w:t>
            </w:r>
            <w:proofErr w:type="spellEnd"/>
            <w:r w:rsidRPr="00320541">
              <w:rPr>
                <w:b/>
                <w:sz w:val="18"/>
                <w:szCs w:val="18"/>
              </w:rPr>
              <w:t xml:space="preserve"> projects</w:t>
            </w:r>
          </w:p>
        </w:tc>
        <w:tc>
          <w:tcPr>
            <w:tcW w:w="1590" w:type="pct"/>
          </w:tcPr>
          <w:p w:rsidR="005906BE" w:rsidRDefault="003A19AD" w:rsidP="003A19AD">
            <w:pPr>
              <w:contextualSpacing/>
              <w:rPr>
                <w:sz w:val="18"/>
                <w:szCs w:val="18"/>
              </w:rPr>
            </w:pPr>
            <w:r>
              <w:rPr>
                <w:sz w:val="18"/>
                <w:szCs w:val="18"/>
              </w:rPr>
              <w:t>T</w:t>
            </w:r>
            <w:r w:rsidR="005906BE" w:rsidRPr="00320541">
              <w:rPr>
                <w:sz w:val="18"/>
                <w:szCs w:val="18"/>
              </w:rPr>
              <w:t xml:space="preserve">he International Road Assessment </w:t>
            </w:r>
            <w:proofErr w:type="spellStart"/>
            <w:r w:rsidR="005906BE" w:rsidRPr="00320541">
              <w:rPr>
                <w:sz w:val="18"/>
                <w:szCs w:val="18"/>
              </w:rPr>
              <w:t>Programme</w:t>
            </w:r>
            <w:proofErr w:type="spellEnd"/>
            <w:r w:rsidR="005906BE" w:rsidRPr="00320541">
              <w:rPr>
                <w:sz w:val="18"/>
                <w:szCs w:val="18"/>
              </w:rPr>
              <w:t xml:space="preserve"> (</w:t>
            </w:r>
            <w:proofErr w:type="spellStart"/>
            <w:r w:rsidR="005906BE" w:rsidRPr="00320541">
              <w:rPr>
                <w:sz w:val="18"/>
                <w:szCs w:val="18"/>
              </w:rPr>
              <w:t>iRap</w:t>
            </w:r>
            <w:proofErr w:type="spellEnd"/>
            <w:r w:rsidR="005906BE" w:rsidRPr="00320541">
              <w:rPr>
                <w:sz w:val="18"/>
                <w:szCs w:val="18"/>
              </w:rPr>
              <w:t xml:space="preserve">) is a UK-based charity that works on road safety worldwide and forms part of the United Nations Road Safety Collaboration. The organization’s main activities include inspecting high-risk roads and developing Star Ratings and Safer Roads Investment Plans, provide training and capacity building, and track road safety performance in partner countries. </w:t>
            </w:r>
            <w:proofErr w:type="spellStart"/>
            <w:proofErr w:type="gramStart"/>
            <w:r w:rsidR="005906BE" w:rsidRPr="00320541">
              <w:rPr>
                <w:sz w:val="18"/>
                <w:szCs w:val="18"/>
              </w:rPr>
              <w:t>iRap</w:t>
            </w:r>
            <w:proofErr w:type="spellEnd"/>
            <w:proofErr w:type="gramEnd"/>
            <w:r w:rsidR="005906BE" w:rsidRPr="00320541">
              <w:rPr>
                <w:sz w:val="18"/>
                <w:szCs w:val="18"/>
              </w:rPr>
              <w:t xml:space="preserve"> </w:t>
            </w:r>
            <w:r>
              <w:rPr>
                <w:sz w:val="18"/>
                <w:szCs w:val="18"/>
              </w:rPr>
              <w:t xml:space="preserve">will share its experience of </w:t>
            </w:r>
            <w:r w:rsidR="005906BE" w:rsidRPr="00320541">
              <w:rPr>
                <w:sz w:val="18"/>
                <w:szCs w:val="18"/>
              </w:rPr>
              <w:t>projects in six African countries (Egypt, Kenya, Nigeria, South Africa, Tanzania and Uganda).</w:t>
            </w:r>
          </w:p>
          <w:p w:rsidR="004761C5" w:rsidRPr="00320541" w:rsidRDefault="004761C5" w:rsidP="003A19AD">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0" w:type="pct"/>
          </w:tcPr>
          <w:p w:rsidR="005906BE" w:rsidRPr="00320541" w:rsidRDefault="005906BE" w:rsidP="00F04404">
            <w:pPr>
              <w:contextualSpacing/>
              <w:rPr>
                <w:sz w:val="18"/>
                <w:szCs w:val="18"/>
              </w:rPr>
            </w:pPr>
          </w:p>
        </w:tc>
        <w:tc>
          <w:tcPr>
            <w:tcW w:w="161" w:type="pct"/>
          </w:tcPr>
          <w:p w:rsidR="005906BE" w:rsidRPr="00320541" w:rsidRDefault="005906BE" w:rsidP="00F04404">
            <w:pPr>
              <w:contextualSpacing/>
              <w:rPr>
                <w:sz w:val="18"/>
                <w:szCs w:val="18"/>
              </w:rPr>
            </w:pPr>
          </w:p>
        </w:tc>
        <w:tc>
          <w:tcPr>
            <w:tcW w:w="1710" w:type="pct"/>
          </w:tcPr>
          <w:p w:rsidR="005906BE" w:rsidRPr="00320541" w:rsidRDefault="005906BE" w:rsidP="00F04404">
            <w:pPr>
              <w:contextualSpacing/>
              <w:rPr>
                <w:sz w:val="18"/>
                <w:szCs w:val="18"/>
              </w:rPr>
            </w:pPr>
          </w:p>
        </w:tc>
      </w:tr>
    </w:tbl>
    <w:p w:rsidR="002318C6" w:rsidRPr="00D43225" w:rsidRDefault="002318C6" w:rsidP="006D5631">
      <w:pPr>
        <w:spacing w:after="160" w:line="240" w:lineRule="auto"/>
        <w:rPr>
          <w:b/>
          <w:smallCaps/>
          <w:sz w:val="24"/>
          <w:szCs w:val="24"/>
        </w:rPr>
      </w:pPr>
      <w:r w:rsidRPr="00D43225">
        <w:rPr>
          <w:b/>
          <w:smallCaps/>
          <w:sz w:val="24"/>
          <w:szCs w:val="24"/>
        </w:rPr>
        <w:lastRenderedPageBreak/>
        <w:t>Suggestions for additional sessions (optional):</w:t>
      </w:r>
    </w:p>
    <w:p w:rsidR="002318C6" w:rsidRPr="006D5631" w:rsidRDefault="002318C6" w:rsidP="006D5631">
      <w:pPr>
        <w:spacing w:after="160" w:line="240" w:lineRule="auto"/>
        <w:rPr>
          <w:sz w:val="20"/>
          <w:szCs w:val="20"/>
        </w:rPr>
      </w:pPr>
      <w:r w:rsidRPr="006D5631">
        <w:rPr>
          <w:sz w:val="20"/>
          <w:szCs w:val="20"/>
        </w:rPr>
        <w:t>Please list below any other suggestions you may have for additional sessions. Make sure to include a brief description of the proposed topic and to explain its importance/relevance to current transport policy issues in Africa.</w:t>
      </w:r>
    </w:p>
    <w:tbl>
      <w:tblPr>
        <w:tblStyle w:val="TableGrid"/>
        <w:tblW w:w="0" w:type="auto"/>
        <w:tblLook w:val="04A0" w:firstRow="1" w:lastRow="0" w:firstColumn="1" w:lastColumn="0" w:noHBand="0" w:noVBand="1"/>
      </w:tblPr>
      <w:tblGrid>
        <w:gridCol w:w="434"/>
        <w:gridCol w:w="5164"/>
        <w:gridCol w:w="5220"/>
        <w:gridCol w:w="2340"/>
      </w:tblGrid>
      <w:tr w:rsidR="00FB48D7" w:rsidTr="00DB16C0">
        <w:tc>
          <w:tcPr>
            <w:tcW w:w="434" w:type="dxa"/>
            <w:shd w:val="clear" w:color="auto" w:fill="E5DFEC" w:themeFill="accent4" w:themeFillTint="33"/>
            <w:vAlign w:val="center"/>
          </w:tcPr>
          <w:p w:rsidR="00FB48D7" w:rsidRPr="00763052" w:rsidRDefault="00FB48D7" w:rsidP="00763052">
            <w:pPr>
              <w:jc w:val="center"/>
              <w:rPr>
                <w:b/>
                <w:i/>
              </w:rPr>
            </w:pPr>
          </w:p>
        </w:tc>
        <w:tc>
          <w:tcPr>
            <w:tcW w:w="5164" w:type="dxa"/>
            <w:shd w:val="clear" w:color="auto" w:fill="E5DFEC" w:themeFill="accent4" w:themeFillTint="33"/>
            <w:vAlign w:val="center"/>
          </w:tcPr>
          <w:p w:rsidR="00FB48D7" w:rsidRPr="00763052" w:rsidRDefault="00FB48D7" w:rsidP="00763052">
            <w:pPr>
              <w:jc w:val="center"/>
              <w:rPr>
                <w:b/>
                <w:i/>
              </w:rPr>
            </w:pPr>
            <w:r w:rsidRPr="00763052">
              <w:rPr>
                <w:b/>
                <w:i/>
              </w:rPr>
              <w:t>Title and description of the proposed session</w:t>
            </w:r>
          </w:p>
        </w:tc>
        <w:tc>
          <w:tcPr>
            <w:tcW w:w="5220" w:type="dxa"/>
            <w:shd w:val="clear" w:color="auto" w:fill="E5DFEC" w:themeFill="accent4" w:themeFillTint="33"/>
            <w:vAlign w:val="center"/>
          </w:tcPr>
          <w:p w:rsidR="00FB48D7" w:rsidRPr="00763052" w:rsidRDefault="00FB48D7" w:rsidP="00763052">
            <w:pPr>
              <w:jc w:val="center"/>
              <w:rPr>
                <w:b/>
                <w:i/>
              </w:rPr>
            </w:pPr>
            <w:r w:rsidRPr="00763052">
              <w:rPr>
                <w:b/>
                <w:i/>
              </w:rPr>
              <w:t>Rationale: why is this topic important/relevant to ongoing transport policy issues in Africa?</w:t>
            </w:r>
          </w:p>
        </w:tc>
        <w:tc>
          <w:tcPr>
            <w:tcW w:w="2340" w:type="dxa"/>
            <w:shd w:val="clear" w:color="auto" w:fill="E5DFEC" w:themeFill="accent4" w:themeFillTint="33"/>
          </w:tcPr>
          <w:p w:rsidR="00FB48D7" w:rsidRPr="00763052" w:rsidRDefault="00FB48D7" w:rsidP="00763052">
            <w:pPr>
              <w:jc w:val="center"/>
              <w:rPr>
                <w:b/>
                <w:i/>
              </w:rPr>
            </w:pPr>
            <w:r>
              <w:rPr>
                <w:b/>
                <w:i/>
              </w:rPr>
              <w:t>Are you willing to make a presentation on this topic</w:t>
            </w:r>
          </w:p>
        </w:tc>
      </w:tr>
      <w:tr w:rsidR="00FB48D7" w:rsidTr="00A640E7">
        <w:tc>
          <w:tcPr>
            <w:tcW w:w="434" w:type="dxa"/>
          </w:tcPr>
          <w:p w:rsidR="00FB48D7" w:rsidRPr="00320541" w:rsidRDefault="00FB48D7" w:rsidP="005906BE">
            <w:pPr>
              <w:rPr>
                <w:b/>
              </w:rPr>
            </w:pPr>
            <w:r w:rsidRPr="00320541">
              <w:rPr>
                <w:b/>
              </w:rPr>
              <w:t>1.</w:t>
            </w: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tc>
        <w:tc>
          <w:tcPr>
            <w:tcW w:w="5164" w:type="dxa"/>
          </w:tcPr>
          <w:p w:rsidR="00FB48D7" w:rsidRDefault="00FB48D7" w:rsidP="005906BE"/>
        </w:tc>
        <w:tc>
          <w:tcPr>
            <w:tcW w:w="5220" w:type="dxa"/>
          </w:tcPr>
          <w:p w:rsidR="00FB48D7" w:rsidRDefault="00FB48D7" w:rsidP="005906BE"/>
        </w:tc>
        <w:tc>
          <w:tcPr>
            <w:tcW w:w="2340" w:type="dxa"/>
          </w:tcPr>
          <w:p w:rsidR="00FB48D7" w:rsidRDefault="00FB48D7" w:rsidP="005906BE"/>
        </w:tc>
      </w:tr>
      <w:tr w:rsidR="00FB48D7" w:rsidTr="00A640E7">
        <w:tc>
          <w:tcPr>
            <w:tcW w:w="434" w:type="dxa"/>
          </w:tcPr>
          <w:p w:rsidR="00FB48D7" w:rsidRPr="00320541" w:rsidRDefault="00FB48D7" w:rsidP="005906BE">
            <w:pPr>
              <w:rPr>
                <w:b/>
              </w:rPr>
            </w:pPr>
            <w:r w:rsidRPr="00320541">
              <w:rPr>
                <w:b/>
              </w:rPr>
              <w:t>2.</w:t>
            </w: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tc>
        <w:tc>
          <w:tcPr>
            <w:tcW w:w="5164" w:type="dxa"/>
          </w:tcPr>
          <w:p w:rsidR="00FB48D7" w:rsidRDefault="00FB48D7" w:rsidP="005906BE"/>
        </w:tc>
        <w:tc>
          <w:tcPr>
            <w:tcW w:w="5220" w:type="dxa"/>
          </w:tcPr>
          <w:p w:rsidR="00FB48D7" w:rsidRDefault="00FB48D7" w:rsidP="005906BE"/>
        </w:tc>
        <w:tc>
          <w:tcPr>
            <w:tcW w:w="2340" w:type="dxa"/>
          </w:tcPr>
          <w:p w:rsidR="00FB48D7" w:rsidRDefault="00FB48D7" w:rsidP="005906BE"/>
        </w:tc>
      </w:tr>
      <w:tr w:rsidR="00FB48D7" w:rsidTr="00A640E7">
        <w:tc>
          <w:tcPr>
            <w:tcW w:w="434" w:type="dxa"/>
          </w:tcPr>
          <w:p w:rsidR="00FB48D7" w:rsidRPr="00320541" w:rsidRDefault="00FB48D7" w:rsidP="005906BE">
            <w:pPr>
              <w:rPr>
                <w:b/>
              </w:rPr>
            </w:pPr>
            <w:r w:rsidRPr="00320541">
              <w:rPr>
                <w:b/>
              </w:rPr>
              <w:t>3.</w:t>
            </w: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p w:rsidR="00FB48D7" w:rsidRPr="00320541" w:rsidRDefault="00FB48D7" w:rsidP="005906BE">
            <w:pPr>
              <w:rPr>
                <w:b/>
              </w:rPr>
            </w:pPr>
          </w:p>
        </w:tc>
        <w:tc>
          <w:tcPr>
            <w:tcW w:w="5164" w:type="dxa"/>
          </w:tcPr>
          <w:p w:rsidR="00FB48D7" w:rsidRDefault="00FB48D7" w:rsidP="005906BE"/>
        </w:tc>
        <w:tc>
          <w:tcPr>
            <w:tcW w:w="5220" w:type="dxa"/>
          </w:tcPr>
          <w:p w:rsidR="00FB48D7" w:rsidRDefault="00FB48D7" w:rsidP="005906BE"/>
        </w:tc>
        <w:tc>
          <w:tcPr>
            <w:tcW w:w="2340" w:type="dxa"/>
          </w:tcPr>
          <w:p w:rsidR="00FB48D7" w:rsidRDefault="00FB48D7" w:rsidP="005906BE"/>
        </w:tc>
      </w:tr>
    </w:tbl>
    <w:p w:rsidR="008C43DE" w:rsidRPr="00D43225" w:rsidRDefault="008C43DE" w:rsidP="00D43225">
      <w:pPr>
        <w:spacing w:before="160" w:after="160" w:line="240" w:lineRule="auto"/>
        <w:rPr>
          <w:b/>
          <w:smallCaps/>
          <w:sz w:val="24"/>
          <w:szCs w:val="24"/>
        </w:rPr>
      </w:pPr>
      <w:r w:rsidRPr="00D43225">
        <w:rPr>
          <w:b/>
          <w:smallCaps/>
          <w:sz w:val="24"/>
          <w:szCs w:val="24"/>
        </w:rPr>
        <w:t>Participation</w:t>
      </w:r>
    </w:p>
    <w:p w:rsidR="008C43DE" w:rsidRPr="006D5631" w:rsidRDefault="008C43DE" w:rsidP="006D5631">
      <w:pPr>
        <w:spacing w:after="160" w:line="240" w:lineRule="auto"/>
        <w:rPr>
          <w:sz w:val="20"/>
          <w:szCs w:val="20"/>
        </w:rPr>
      </w:pPr>
      <w:r w:rsidRPr="006D5631">
        <w:rPr>
          <w:sz w:val="20"/>
          <w:szCs w:val="20"/>
        </w:rPr>
        <w:t xml:space="preserve">Please let us know how many representatives from your institution/organization you expect to participate in the Forum.  The first </w:t>
      </w:r>
      <w:r w:rsidRPr="001F6B64">
        <w:rPr>
          <w:b/>
          <w:sz w:val="20"/>
          <w:szCs w:val="20"/>
        </w:rPr>
        <w:t>Africa Transport Policy Forum</w:t>
      </w:r>
      <w:r w:rsidRPr="006D5631">
        <w:rPr>
          <w:sz w:val="20"/>
          <w:szCs w:val="20"/>
        </w:rPr>
        <w:t xml:space="preserve"> will be open to all interested participants. Only those sponsored to participate in the 1-day </w:t>
      </w:r>
      <w:r w:rsidRPr="001F6B64">
        <w:rPr>
          <w:b/>
          <w:sz w:val="20"/>
          <w:szCs w:val="20"/>
        </w:rPr>
        <w:t>SSATP Annual Meeting</w:t>
      </w:r>
      <w:r w:rsidRPr="006D5631">
        <w:rPr>
          <w:sz w:val="20"/>
          <w:szCs w:val="20"/>
        </w:rPr>
        <w:t>, which will follow the forum, will be sponsored to participate in the forum. The SSATP Annual Meeting will be open only to SSATP designated partners/stakeholders from governments, African institutions, Regional Economic Communities, private sector and development partners.</w:t>
      </w:r>
    </w:p>
    <w:p w:rsidR="008C43DE" w:rsidRPr="006D5631" w:rsidRDefault="008C43DE" w:rsidP="006D5631">
      <w:pPr>
        <w:spacing w:after="160" w:line="240" w:lineRule="auto"/>
        <w:rPr>
          <w:sz w:val="20"/>
          <w:szCs w:val="20"/>
        </w:rPr>
      </w:pPr>
      <w:r w:rsidRPr="006D5631">
        <w:rPr>
          <w:sz w:val="20"/>
          <w:szCs w:val="20"/>
        </w:rPr>
        <w:t>Number of participants: __________</w:t>
      </w:r>
    </w:p>
    <w:sectPr w:rsidR="008C43DE" w:rsidRPr="006D5631" w:rsidSect="000875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FFFFFFFE"/>
    <w:multiLevelType w:val="singleLevel"/>
    <w:tmpl w:val="4A7625A4"/>
    <w:lvl w:ilvl="0">
      <w:numFmt w:val="bullet"/>
      <w:lvlText w:val="*"/>
      <w:lvlJc w:val="left"/>
    </w:lvl>
  </w:abstractNum>
  <w:abstractNum w:abstractNumId="1">
    <w:nsid w:val="169B7224"/>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2">
    <w:nsid w:val="1ED173D7"/>
    <w:multiLevelType w:val="hybridMultilevel"/>
    <w:tmpl w:val="9F04FF04"/>
    <w:lvl w:ilvl="0" w:tplc="37BA249C">
      <w:start w:val="5"/>
      <w:numFmt w:val="bullet"/>
      <w:lvlText w:val="-"/>
      <w:lvlJc w:val="left"/>
      <w:pPr>
        <w:ind w:left="720" w:hanging="360"/>
      </w:pPr>
      <w:rPr>
        <w:rFonts w:ascii="Calibri" w:eastAsiaTheme="minorHAnsi" w:hAnsi="Calibri" w:cs="Calibri" w:hint="default"/>
      </w:rPr>
    </w:lvl>
    <w:lvl w:ilvl="1" w:tplc="37BA249C">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A1E96"/>
    <w:multiLevelType w:val="hybridMultilevel"/>
    <w:tmpl w:val="E66C669E"/>
    <w:lvl w:ilvl="0" w:tplc="F3A21F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D3DE0"/>
    <w:multiLevelType w:val="hybridMultilevel"/>
    <w:tmpl w:val="10B660B4"/>
    <w:lvl w:ilvl="0" w:tplc="35DA7D9A">
      <w:start w:val="1"/>
      <w:numFmt w:val="bullet"/>
      <w:lvlText w:val=""/>
      <w:lvlJc w:val="left"/>
      <w:pPr>
        <w:tabs>
          <w:tab w:val="num" w:pos="720"/>
        </w:tabs>
        <w:ind w:left="720" w:hanging="360"/>
      </w:pPr>
      <w:rPr>
        <w:rFonts w:ascii="Wingdings" w:hAnsi="Wingdings" w:hint="default"/>
      </w:rPr>
    </w:lvl>
    <w:lvl w:ilvl="1" w:tplc="DCFEB5B4" w:tentative="1">
      <w:start w:val="1"/>
      <w:numFmt w:val="bullet"/>
      <w:lvlText w:val=""/>
      <w:lvlJc w:val="left"/>
      <w:pPr>
        <w:tabs>
          <w:tab w:val="num" w:pos="1440"/>
        </w:tabs>
        <w:ind w:left="1440" w:hanging="360"/>
      </w:pPr>
      <w:rPr>
        <w:rFonts w:ascii="Wingdings" w:hAnsi="Wingdings" w:hint="default"/>
      </w:rPr>
    </w:lvl>
    <w:lvl w:ilvl="2" w:tplc="49D622EC" w:tentative="1">
      <w:start w:val="1"/>
      <w:numFmt w:val="bullet"/>
      <w:lvlText w:val=""/>
      <w:lvlJc w:val="left"/>
      <w:pPr>
        <w:tabs>
          <w:tab w:val="num" w:pos="2160"/>
        </w:tabs>
        <w:ind w:left="2160" w:hanging="360"/>
      </w:pPr>
      <w:rPr>
        <w:rFonts w:ascii="Wingdings" w:hAnsi="Wingdings" w:hint="default"/>
      </w:rPr>
    </w:lvl>
    <w:lvl w:ilvl="3" w:tplc="FCB698F6" w:tentative="1">
      <w:start w:val="1"/>
      <w:numFmt w:val="bullet"/>
      <w:lvlText w:val=""/>
      <w:lvlJc w:val="left"/>
      <w:pPr>
        <w:tabs>
          <w:tab w:val="num" w:pos="2880"/>
        </w:tabs>
        <w:ind w:left="2880" w:hanging="360"/>
      </w:pPr>
      <w:rPr>
        <w:rFonts w:ascii="Wingdings" w:hAnsi="Wingdings" w:hint="default"/>
      </w:rPr>
    </w:lvl>
    <w:lvl w:ilvl="4" w:tplc="89BC79A0" w:tentative="1">
      <w:start w:val="1"/>
      <w:numFmt w:val="bullet"/>
      <w:lvlText w:val=""/>
      <w:lvlJc w:val="left"/>
      <w:pPr>
        <w:tabs>
          <w:tab w:val="num" w:pos="3600"/>
        </w:tabs>
        <w:ind w:left="3600" w:hanging="360"/>
      </w:pPr>
      <w:rPr>
        <w:rFonts w:ascii="Wingdings" w:hAnsi="Wingdings" w:hint="default"/>
      </w:rPr>
    </w:lvl>
    <w:lvl w:ilvl="5" w:tplc="781C3B8C" w:tentative="1">
      <w:start w:val="1"/>
      <w:numFmt w:val="bullet"/>
      <w:lvlText w:val=""/>
      <w:lvlJc w:val="left"/>
      <w:pPr>
        <w:tabs>
          <w:tab w:val="num" w:pos="4320"/>
        </w:tabs>
        <w:ind w:left="4320" w:hanging="360"/>
      </w:pPr>
      <w:rPr>
        <w:rFonts w:ascii="Wingdings" w:hAnsi="Wingdings" w:hint="default"/>
      </w:rPr>
    </w:lvl>
    <w:lvl w:ilvl="6" w:tplc="C21A0FC8" w:tentative="1">
      <w:start w:val="1"/>
      <w:numFmt w:val="bullet"/>
      <w:lvlText w:val=""/>
      <w:lvlJc w:val="left"/>
      <w:pPr>
        <w:tabs>
          <w:tab w:val="num" w:pos="5040"/>
        </w:tabs>
        <w:ind w:left="5040" w:hanging="360"/>
      </w:pPr>
      <w:rPr>
        <w:rFonts w:ascii="Wingdings" w:hAnsi="Wingdings" w:hint="default"/>
      </w:rPr>
    </w:lvl>
    <w:lvl w:ilvl="7" w:tplc="B5FAAFEA" w:tentative="1">
      <w:start w:val="1"/>
      <w:numFmt w:val="bullet"/>
      <w:lvlText w:val=""/>
      <w:lvlJc w:val="left"/>
      <w:pPr>
        <w:tabs>
          <w:tab w:val="num" w:pos="5760"/>
        </w:tabs>
        <w:ind w:left="5760" w:hanging="360"/>
      </w:pPr>
      <w:rPr>
        <w:rFonts w:ascii="Wingdings" w:hAnsi="Wingdings" w:hint="default"/>
      </w:rPr>
    </w:lvl>
    <w:lvl w:ilvl="8" w:tplc="2702E950" w:tentative="1">
      <w:start w:val="1"/>
      <w:numFmt w:val="bullet"/>
      <w:lvlText w:val=""/>
      <w:lvlJc w:val="left"/>
      <w:pPr>
        <w:tabs>
          <w:tab w:val="num" w:pos="6480"/>
        </w:tabs>
        <w:ind w:left="6480" w:hanging="360"/>
      </w:pPr>
      <w:rPr>
        <w:rFonts w:ascii="Wingdings" w:hAnsi="Wingdings" w:hint="default"/>
      </w:rPr>
    </w:lvl>
  </w:abstractNum>
  <w:abstractNum w:abstractNumId="5">
    <w:nsid w:val="33836ED9"/>
    <w:multiLevelType w:val="hybridMultilevel"/>
    <w:tmpl w:val="A1E8DEA2"/>
    <w:lvl w:ilvl="0" w:tplc="04090005">
      <w:start w:val="1"/>
      <w:numFmt w:val="bullet"/>
      <w:lvlText w:val=""/>
      <w:lvlJc w:val="left"/>
      <w:pPr>
        <w:ind w:left="973" w:hanging="360"/>
      </w:pPr>
      <w:rPr>
        <w:rFonts w:ascii="Wingdings" w:hAnsi="Wingdings"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5F9481C"/>
    <w:multiLevelType w:val="hybridMultilevel"/>
    <w:tmpl w:val="B2F85334"/>
    <w:lvl w:ilvl="0" w:tplc="37BA249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67413"/>
    <w:multiLevelType w:val="hybridMultilevel"/>
    <w:tmpl w:val="A29A6968"/>
    <w:lvl w:ilvl="0" w:tplc="04090005">
      <w:start w:val="1"/>
      <w:numFmt w:val="bullet"/>
      <w:lvlText w:val=""/>
      <w:lvlJc w:val="left"/>
      <w:pPr>
        <w:ind w:left="973" w:hanging="360"/>
      </w:pPr>
      <w:rPr>
        <w:rFonts w:ascii="Wingdings" w:hAnsi="Wingdings"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nsid w:val="413001E4"/>
    <w:multiLevelType w:val="hybridMultilevel"/>
    <w:tmpl w:val="7BFE2D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F50EBF"/>
    <w:multiLevelType w:val="hybridMultilevel"/>
    <w:tmpl w:val="61F44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52575"/>
    <w:multiLevelType w:val="hybridMultilevel"/>
    <w:tmpl w:val="39CEF902"/>
    <w:lvl w:ilvl="0" w:tplc="258AA81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96779"/>
    <w:multiLevelType w:val="hybridMultilevel"/>
    <w:tmpl w:val="BF5847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2"/>
  </w:num>
  <w:num w:numId="6">
    <w:abstractNumId w:val="11"/>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9"/>
  </w:num>
  <w:num w:numId="9">
    <w:abstractNumId w:val="7"/>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E0"/>
    <w:rsid w:val="000060C4"/>
    <w:rsid w:val="00011BE0"/>
    <w:rsid w:val="0001406F"/>
    <w:rsid w:val="000155E6"/>
    <w:rsid w:val="00016C7F"/>
    <w:rsid w:val="00017538"/>
    <w:rsid w:val="00024F6F"/>
    <w:rsid w:val="00025214"/>
    <w:rsid w:val="00025631"/>
    <w:rsid w:val="0003248D"/>
    <w:rsid w:val="00035A36"/>
    <w:rsid w:val="00045AC0"/>
    <w:rsid w:val="00050B9D"/>
    <w:rsid w:val="000511CE"/>
    <w:rsid w:val="00055249"/>
    <w:rsid w:val="000564C0"/>
    <w:rsid w:val="000652E5"/>
    <w:rsid w:val="000656BE"/>
    <w:rsid w:val="00067FA8"/>
    <w:rsid w:val="00072520"/>
    <w:rsid w:val="00072A8A"/>
    <w:rsid w:val="00072EF5"/>
    <w:rsid w:val="000733CD"/>
    <w:rsid w:val="0007748B"/>
    <w:rsid w:val="00077CB5"/>
    <w:rsid w:val="00082980"/>
    <w:rsid w:val="00087517"/>
    <w:rsid w:val="00090491"/>
    <w:rsid w:val="00090FFC"/>
    <w:rsid w:val="000920A5"/>
    <w:rsid w:val="000922F2"/>
    <w:rsid w:val="00092E54"/>
    <w:rsid w:val="00097660"/>
    <w:rsid w:val="000A046C"/>
    <w:rsid w:val="000A180E"/>
    <w:rsid w:val="000A238D"/>
    <w:rsid w:val="000A251A"/>
    <w:rsid w:val="000A3F25"/>
    <w:rsid w:val="000A430D"/>
    <w:rsid w:val="000A7349"/>
    <w:rsid w:val="000B011D"/>
    <w:rsid w:val="000B245F"/>
    <w:rsid w:val="000B33AD"/>
    <w:rsid w:val="000B6FAE"/>
    <w:rsid w:val="000B7634"/>
    <w:rsid w:val="000C03FE"/>
    <w:rsid w:val="000C15A2"/>
    <w:rsid w:val="000C2F0C"/>
    <w:rsid w:val="000D0147"/>
    <w:rsid w:val="000D2771"/>
    <w:rsid w:val="000D436B"/>
    <w:rsid w:val="000E04D3"/>
    <w:rsid w:val="000E04FB"/>
    <w:rsid w:val="000E0831"/>
    <w:rsid w:val="000E1CC6"/>
    <w:rsid w:val="000E2E97"/>
    <w:rsid w:val="000E3779"/>
    <w:rsid w:val="000E5784"/>
    <w:rsid w:val="000E5A17"/>
    <w:rsid w:val="000F30DC"/>
    <w:rsid w:val="000F3B6B"/>
    <w:rsid w:val="000F6401"/>
    <w:rsid w:val="000F7CDF"/>
    <w:rsid w:val="000F7CED"/>
    <w:rsid w:val="00100179"/>
    <w:rsid w:val="00101D88"/>
    <w:rsid w:val="00103B48"/>
    <w:rsid w:val="00104F43"/>
    <w:rsid w:val="001055C9"/>
    <w:rsid w:val="00107790"/>
    <w:rsid w:val="00111A7F"/>
    <w:rsid w:val="00112CDE"/>
    <w:rsid w:val="00114714"/>
    <w:rsid w:val="00115126"/>
    <w:rsid w:val="00115EE0"/>
    <w:rsid w:val="00117BE6"/>
    <w:rsid w:val="00121107"/>
    <w:rsid w:val="00122C37"/>
    <w:rsid w:val="001241C6"/>
    <w:rsid w:val="00124387"/>
    <w:rsid w:val="00124BFC"/>
    <w:rsid w:val="00130E89"/>
    <w:rsid w:val="00131947"/>
    <w:rsid w:val="00135393"/>
    <w:rsid w:val="0013589A"/>
    <w:rsid w:val="001367FA"/>
    <w:rsid w:val="00146963"/>
    <w:rsid w:val="00153088"/>
    <w:rsid w:val="00153B10"/>
    <w:rsid w:val="00155610"/>
    <w:rsid w:val="00155BD3"/>
    <w:rsid w:val="00155F68"/>
    <w:rsid w:val="001574A0"/>
    <w:rsid w:val="00162304"/>
    <w:rsid w:val="001655CA"/>
    <w:rsid w:val="001738B1"/>
    <w:rsid w:val="001757CC"/>
    <w:rsid w:val="00175ADB"/>
    <w:rsid w:val="00177381"/>
    <w:rsid w:val="001779AD"/>
    <w:rsid w:val="001827F4"/>
    <w:rsid w:val="0018403A"/>
    <w:rsid w:val="00190575"/>
    <w:rsid w:val="00193643"/>
    <w:rsid w:val="00195135"/>
    <w:rsid w:val="001977FE"/>
    <w:rsid w:val="00197974"/>
    <w:rsid w:val="00197F6F"/>
    <w:rsid w:val="001A046A"/>
    <w:rsid w:val="001A1756"/>
    <w:rsid w:val="001A23E5"/>
    <w:rsid w:val="001A3A34"/>
    <w:rsid w:val="001A7431"/>
    <w:rsid w:val="001B0854"/>
    <w:rsid w:val="001B1E2F"/>
    <w:rsid w:val="001B582F"/>
    <w:rsid w:val="001B63F6"/>
    <w:rsid w:val="001C4587"/>
    <w:rsid w:val="001C59D0"/>
    <w:rsid w:val="001D04E9"/>
    <w:rsid w:val="001D0E07"/>
    <w:rsid w:val="001D1F9D"/>
    <w:rsid w:val="001D2C12"/>
    <w:rsid w:val="001D6588"/>
    <w:rsid w:val="001D708A"/>
    <w:rsid w:val="001D7269"/>
    <w:rsid w:val="001D7CF7"/>
    <w:rsid w:val="001E18D6"/>
    <w:rsid w:val="001E3D65"/>
    <w:rsid w:val="001E4D18"/>
    <w:rsid w:val="001E6664"/>
    <w:rsid w:val="001F100F"/>
    <w:rsid w:val="001F19EE"/>
    <w:rsid w:val="001F1AC9"/>
    <w:rsid w:val="001F4C9C"/>
    <w:rsid w:val="001F64B0"/>
    <w:rsid w:val="001F6B64"/>
    <w:rsid w:val="001F7EA6"/>
    <w:rsid w:val="00200E34"/>
    <w:rsid w:val="00201372"/>
    <w:rsid w:val="002034EA"/>
    <w:rsid w:val="00204ED5"/>
    <w:rsid w:val="00206900"/>
    <w:rsid w:val="00206B03"/>
    <w:rsid w:val="002075EA"/>
    <w:rsid w:val="00213835"/>
    <w:rsid w:val="00216BD1"/>
    <w:rsid w:val="00222063"/>
    <w:rsid w:val="0022359D"/>
    <w:rsid w:val="002235AF"/>
    <w:rsid w:val="0022605F"/>
    <w:rsid w:val="00227210"/>
    <w:rsid w:val="002302B7"/>
    <w:rsid w:val="00230636"/>
    <w:rsid w:val="002318C6"/>
    <w:rsid w:val="0023190F"/>
    <w:rsid w:val="002356C5"/>
    <w:rsid w:val="0023608E"/>
    <w:rsid w:val="002365D0"/>
    <w:rsid w:val="0023725F"/>
    <w:rsid w:val="00240C3D"/>
    <w:rsid w:val="00241457"/>
    <w:rsid w:val="0024353C"/>
    <w:rsid w:val="00250353"/>
    <w:rsid w:val="002520A2"/>
    <w:rsid w:val="00252CC8"/>
    <w:rsid w:val="0025307B"/>
    <w:rsid w:val="00262442"/>
    <w:rsid w:val="002624E6"/>
    <w:rsid w:val="00262C72"/>
    <w:rsid w:val="002633F7"/>
    <w:rsid w:val="002668A6"/>
    <w:rsid w:val="002676F5"/>
    <w:rsid w:val="002678C1"/>
    <w:rsid w:val="00267C49"/>
    <w:rsid w:val="002708F9"/>
    <w:rsid w:val="0027271C"/>
    <w:rsid w:val="00273CE0"/>
    <w:rsid w:val="002759A9"/>
    <w:rsid w:val="00275EAA"/>
    <w:rsid w:val="0028344B"/>
    <w:rsid w:val="0028503E"/>
    <w:rsid w:val="00286616"/>
    <w:rsid w:val="002874D4"/>
    <w:rsid w:val="00291EAB"/>
    <w:rsid w:val="0029226E"/>
    <w:rsid w:val="002A068C"/>
    <w:rsid w:val="002A08ED"/>
    <w:rsid w:val="002A1771"/>
    <w:rsid w:val="002A63B7"/>
    <w:rsid w:val="002A7697"/>
    <w:rsid w:val="002B202C"/>
    <w:rsid w:val="002B225D"/>
    <w:rsid w:val="002B39B5"/>
    <w:rsid w:val="002B6836"/>
    <w:rsid w:val="002B6DC3"/>
    <w:rsid w:val="002B785F"/>
    <w:rsid w:val="002C1A70"/>
    <w:rsid w:val="002C351E"/>
    <w:rsid w:val="002C4C0D"/>
    <w:rsid w:val="002C5391"/>
    <w:rsid w:val="002C55E7"/>
    <w:rsid w:val="002C724D"/>
    <w:rsid w:val="002C7D6E"/>
    <w:rsid w:val="002D0527"/>
    <w:rsid w:val="002D0D57"/>
    <w:rsid w:val="002D232C"/>
    <w:rsid w:val="002D3A85"/>
    <w:rsid w:val="002D4958"/>
    <w:rsid w:val="002D6814"/>
    <w:rsid w:val="002D6960"/>
    <w:rsid w:val="002E051E"/>
    <w:rsid w:val="002E3735"/>
    <w:rsid w:val="002E37E5"/>
    <w:rsid w:val="002E48EA"/>
    <w:rsid w:val="002E6728"/>
    <w:rsid w:val="002F1563"/>
    <w:rsid w:val="002F1CF9"/>
    <w:rsid w:val="002F34DC"/>
    <w:rsid w:val="002F3C79"/>
    <w:rsid w:val="002F3E21"/>
    <w:rsid w:val="002F48F5"/>
    <w:rsid w:val="002F6F66"/>
    <w:rsid w:val="002F7B36"/>
    <w:rsid w:val="003026D4"/>
    <w:rsid w:val="0030306B"/>
    <w:rsid w:val="00304676"/>
    <w:rsid w:val="00304A12"/>
    <w:rsid w:val="00307C0B"/>
    <w:rsid w:val="0031418D"/>
    <w:rsid w:val="00317A71"/>
    <w:rsid w:val="00320541"/>
    <w:rsid w:val="00321787"/>
    <w:rsid w:val="00323200"/>
    <w:rsid w:val="00327FFA"/>
    <w:rsid w:val="00330F9F"/>
    <w:rsid w:val="003317F8"/>
    <w:rsid w:val="00331D0B"/>
    <w:rsid w:val="003353DB"/>
    <w:rsid w:val="00335EC1"/>
    <w:rsid w:val="003412AE"/>
    <w:rsid w:val="00341745"/>
    <w:rsid w:val="00341C16"/>
    <w:rsid w:val="00341FB5"/>
    <w:rsid w:val="003439E9"/>
    <w:rsid w:val="00343D98"/>
    <w:rsid w:val="00343EEE"/>
    <w:rsid w:val="003506FB"/>
    <w:rsid w:val="00351B61"/>
    <w:rsid w:val="0035391F"/>
    <w:rsid w:val="00353ACF"/>
    <w:rsid w:val="00353E00"/>
    <w:rsid w:val="00355B4D"/>
    <w:rsid w:val="00355DBA"/>
    <w:rsid w:val="00356E6E"/>
    <w:rsid w:val="00357D21"/>
    <w:rsid w:val="00363C62"/>
    <w:rsid w:val="00366CE4"/>
    <w:rsid w:val="00370625"/>
    <w:rsid w:val="003725B2"/>
    <w:rsid w:val="0037327D"/>
    <w:rsid w:val="003734A7"/>
    <w:rsid w:val="00373AA6"/>
    <w:rsid w:val="003742F5"/>
    <w:rsid w:val="003767F9"/>
    <w:rsid w:val="00377EA1"/>
    <w:rsid w:val="00381680"/>
    <w:rsid w:val="0038423E"/>
    <w:rsid w:val="003857DD"/>
    <w:rsid w:val="00386E08"/>
    <w:rsid w:val="0039443E"/>
    <w:rsid w:val="003A0661"/>
    <w:rsid w:val="003A133D"/>
    <w:rsid w:val="003A19AD"/>
    <w:rsid w:val="003A35EF"/>
    <w:rsid w:val="003A5B2B"/>
    <w:rsid w:val="003A6990"/>
    <w:rsid w:val="003B0655"/>
    <w:rsid w:val="003B08E6"/>
    <w:rsid w:val="003B2564"/>
    <w:rsid w:val="003B5B72"/>
    <w:rsid w:val="003B5EB4"/>
    <w:rsid w:val="003B62CC"/>
    <w:rsid w:val="003B7CF0"/>
    <w:rsid w:val="003C5E9E"/>
    <w:rsid w:val="003C625F"/>
    <w:rsid w:val="003D3120"/>
    <w:rsid w:val="003D3DE4"/>
    <w:rsid w:val="003D5000"/>
    <w:rsid w:val="003D576A"/>
    <w:rsid w:val="003D6002"/>
    <w:rsid w:val="003E0939"/>
    <w:rsid w:val="003E1E4C"/>
    <w:rsid w:val="003E2159"/>
    <w:rsid w:val="003E4929"/>
    <w:rsid w:val="003E5EDF"/>
    <w:rsid w:val="003F168E"/>
    <w:rsid w:val="003F2613"/>
    <w:rsid w:val="003F60B3"/>
    <w:rsid w:val="003F6E80"/>
    <w:rsid w:val="004035AD"/>
    <w:rsid w:val="00404F7B"/>
    <w:rsid w:val="00405088"/>
    <w:rsid w:val="00414FD5"/>
    <w:rsid w:val="00416C11"/>
    <w:rsid w:val="00416C1F"/>
    <w:rsid w:val="004200EA"/>
    <w:rsid w:val="0042574D"/>
    <w:rsid w:val="004272C9"/>
    <w:rsid w:val="004279E8"/>
    <w:rsid w:val="0043041A"/>
    <w:rsid w:val="0043108A"/>
    <w:rsid w:val="00431509"/>
    <w:rsid w:val="00431996"/>
    <w:rsid w:val="00431FE8"/>
    <w:rsid w:val="00434AC7"/>
    <w:rsid w:val="00437FA3"/>
    <w:rsid w:val="004405B3"/>
    <w:rsid w:val="00440E3A"/>
    <w:rsid w:val="00445AB3"/>
    <w:rsid w:val="004468DD"/>
    <w:rsid w:val="00447298"/>
    <w:rsid w:val="0044791E"/>
    <w:rsid w:val="00450DB1"/>
    <w:rsid w:val="00454E17"/>
    <w:rsid w:val="00457F7A"/>
    <w:rsid w:val="004605B7"/>
    <w:rsid w:val="00461373"/>
    <w:rsid w:val="0046178D"/>
    <w:rsid w:val="00462D8E"/>
    <w:rsid w:val="0046483B"/>
    <w:rsid w:val="00471AD4"/>
    <w:rsid w:val="00472B16"/>
    <w:rsid w:val="00474652"/>
    <w:rsid w:val="0047543C"/>
    <w:rsid w:val="004761C5"/>
    <w:rsid w:val="00481529"/>
    <w:rsid w:val="00484249"/>
    <w:rsid w:val="00485DE5"/>
    <w:rsid w:val="00486F66"/>
    <w:rsid w:val="004876F6"/>
    <w:rsid w:val="00487F0D"/>
    <w:rsid w:val="00493480"/>
    <w:rsid w:val="00494C0F"/>
    <w:rsid w:val="0049677E"/>
    <w:rsid w:val="004967A6"/>
    <w:rsid w:val="004A65B6"/>
    <w:rsid w:val="004A79BF"/>
    <w:rsid w:val="004B2E3C"/>
    <w:rsid w:val="004B63D2"/>
    <w:rsid w:val="004B6535"/>
    <w:rsid w:val="004B65A6"/>
    <w:rsid w:val="004B6931"/>
    <w:rsid w:val="004C03EF"/>
    <w:rsid w:val="004C15D7"/>
    <w:rsid w:val="004C1D45"/>
    <w:rsid w:val="004C2D16"/>
    <w:rsid w:val="004C402B"/>
    <w:rsid w:val="004C4686"/>
    <w:rsid w:val="004C7120"/>
    <w:rsid w:val="004C7E96"/>
    <w:rsid w:val="004D7931"/>
    <w:rsid w:val="004E5E87"/>
    <w:rsid w:val="004F0BDE"/>
    <w:rsid w:val="004F475B"/>
    <w:rsid w:val="004F5373"/>
    <w:rsid w:val="004F5BE0"/>
    <w:rsid w:val="004F716D"/>
    <w:rsid w:val="00503398"/>
    <w:rsid w:val="00505BCA"/>
    <w:rsid w:val="00511AE8"/>
    <w:rsid w:val="00513F0C"/>
    <w:rsid w:val="005165DB"/>
    <w:rsid w:val="00517BBB"/>
    <w:rsid w:val="00524329"/>
    <w:rsid w:val="00526687"/>
    <w:rsid w:val="00533191"/>
    <w:rsid w:val="00537342"/>
    <w:rsid w:val="00540AA2"/>
    <w:rsid w:val="005448BB"/>
    <w:rsid w:val="00544C30"/>
    <w:rsid w:val="00546B57"/>
    <w:rsid w:val="00551880"/>
    <w:rsid w:val="00554B3C"/>
    <w:rsid w:val="0055555E"/>
    <w:rsid w:val="00555EE6"/>
    <w:rsid w:val="00556000"/>
    <w:rsid w:val="0056274C"/>
    <w:rsid w:val="005629AD"/>
    <w:rsid w:val="005653BC"/>
    <w:rsid w:val="005658BA"/>
    <w:rsid w:val="00565932"/>
    <w:rsid w:val="005706C0"/>
    <w:rsid w:val="005715BB"/>
    <w:rsid w:val="00572BCF"/>
    <w:rsid w:val="00573B33"/>
    <w:rsid w:val="00575A52"/>
    <w:rsid w:val="00575E93"/>
    <w:rsid w:val="00575F2D"/>
    <w:rsid w:val="00577415"/>
    <w:rsid w:val="005802F9"/>
    <w:rsid w:val="00586EFA"/>
    <w:rsid w:val="005906BE"/>
    <w:rsid w:val="00590AA5"/>
    <w:rsid w:val="00590B64"/>
    <w:rsid w:val="00590CAC"/>
    <w:rsid w:val="005913B4"/>
    <w:rsid w:val="005945E8"/>
    <w:rsid w:val="005A1B76"/>
    <w:rsid w:val="005A56A5"/>
    <w:rsid w:val="005A6A65"/>
    <w:rsid w:val="005A714F"/>
    <w:rsid w:val="005B7BFB"/>
    <w:rsid w:val="005C1AC2"/>
    <w:rsid w:val="005C3EC2"/>
    <w:rsid w:val="005C5C0E"/>
    <w:rsid w:val="005E05B9"/>
    <w:rsid w:val="005E4F22"/>
    <w:rsid w:val="005E5817"/>
    <w:rsid w:val="005E7115"/>
    <w:rsid w:val="005F022F"/>
    <w:rsid w:val="005F40B8"/>
    <w:rsid w:val="005F6C5D"/>
    <w:rsid w:val="005F7653"/>
    <w:rsid w:val="00601D0D"/>
    <w:rsid w:val="00604969"/>
    <w:rsid w:val="006061DC"/>
    <w:rsid w:val="00612577"/>
    <w:rsid w:val="006130F0"/>
    <w:rsid w:val="006142DC"/>
    <w:rsid w:val="00615840"/>
    <w:rsid w:val="006165E6"/>
    <w:rsid w:val="00616752"/>
    <w:rsid w:val="006226C2"/>
    <w:rsid w:val="00624DF5"/>
    <w:rsid w:val="00626049"/>
    <w:rsid w:val="006336F5"/>
    <w:rsid w:val="00634E6C"/>
    <w:rsid w:val="00637207"/>
    <w:rsid w:val="006446AD"/>
    <w:rsid w:val="0064576A"/>
    <w:rsid w:val="00646E0A"/>
    <w:rsid w:val="006520B3"/>
    <w:rsid w:val="006539A2"/>
    <w:rsid w:val="006573D2"/>
    <w:rsid w:val="00657A15"/>
    <w:rsid w:val="00660938"/>
    <w:rsid w:val="00660AD2"/>
    <w:rsid w:val="00661B2D"/>
    <w:rsid w:val="00661B52"/>
    <w:rsid w:val="00666D19"/>
    <w:rsid w:val="00673674"/>
    <w:rsid w:val="00674924"/>
    <w:rsid w:val="00674D2C"/>
    <w:rsid w:val="00674FEB"/>
    <w:rsid w:val="00675551"/>
    <w:rsid w:val="00675C71"/>
    <w:rsid w:val="00677697"/>
    <w:rsid w:val="006778EB"/>
    <w:rsid w:val="00680FF8"/>
    <w:rsid w:val="006814FA"/>
    <w:rsid w:val="0068262E"/>
    <w:rsid w:val="0068276A"/>
    <w:rsid w:val="006832D7"/>
    <w:rsid w:val="00690126"/>
    <w:rsid w:val="00690CE7"/>
    <w:rsid w:val="00691D20"/>
    <w:rsid w:val="00692CBE"/>
    <w:rsid w:val="00693592"/>
    <w:rsid w:val="00693E7E"/>
    <w:rsid w:val="00693F7A"/>
    <w:rsid w:val="00694EF1"/>
    <w:rsid w:val="00695A4E"/>
    <w:rsid w:val="006A288D"/>
    <w:rsid w:val="006A3135"/>
    <w:rsid w:val="006A3861"/>
    <w:rsid w:val="006A53E8"/>
    <w:rsid w:val="006A6EBF"/>
    <w:rsid w:val="006A74D9"/>
    <w:rsid w:val="006A7CCB"/>
    <w:rsid w:val="006B2F12"/>
    <w:rsid w:val="006B474C"/>
    <w:rsid w:val="006B5FFA"/>
    <w:rsid w:val="006C2C71"/>
    <w:rsid w:val="006C4AAC"/>
    <w:rsid w:val="006D4640"/>
    <w:rsid w:val="006D5631"/>
    <w:rsid w:val="006D5F08"/>
    <w:rsid w:val="006E33C0"/>
    <w:rsid w:val="006E3B1E"/>
    <w:rsid w:val="006E555D"/>
    <w:rsid w:val="006E5943"/>
    <w:rsid w:val="006F1C32"/>
    <w:rsid w:val="006F268C"/>
    <w:rsid w:val="006F3B72"/>
    <w:rsid w:val="006F5CE2"/>
    <w:rsid w:val="00700064"/>
    <w:rsid w:val="00700B04"/>
    <w:rsid w:val="007012F0"/>
    <w:rsid w:val="00701358"/>
    <w:rsid w:val="007018C3"/>
    <w:rsid w:val="00702072"/>
    <w:rsid w:val="0070625A"/>
    <w:rsid w:val="00706848"/>
    <w:rsid w:val="007079AC"/>
    <w:rsid w:val="00710122"/>
    <w:rsid w:val="00715234"/>
    <w:rsid w:val="00715455"/>
    <w:rsid w:val="00715E1E"/>
    <w:rsid w:val="00717908"/>
    <w:rsid w:val="00721903"/>
    <w:rsid w:val="00723C62"/>
    <w:rsid w:val="007243D8"/>
    <w:rsid w:val="0072523A"/>
    <w:rsid w:val="00725770"/>
    <w:rsid w:val="007343F5"/>
    <w:rsid w:val="00734674"/>
    <w:rsid w:val="00736049"/>
    <w:rsid w:val="0074024E"/>
    <w:rsid w:val="00742991"/>
    <w:rsid w:val="00744F0D"/>
    <w:rsid w:val="007457A7"/>
    <w:rsid w:val="00750DC2"/>
    <w:rsid w:val="00762C86"/>
    <w:rsid w:val="00763052"/>
    <w:rsid w:val="00771EAD"/>
    <w:rsid w:val="00772BC3"/>
    <w:rsid w:val="00773B0F"/>
    <w:rsid w:val="00774C23"/>
    <w:rsid w:val="007845DD"/>
    <w:rsid w:val="00785170"/>
    <w:rsid w:val="007907E0"/>
    <w:rsid w:val="00790CF3"/>
    <w:rsid w:val="007923B1"/>
    <w:rsid w:val="00797529"/>
    <w:rsid w:val="007A1597"/>
    <w:rsid w:val="007A5D75"/>
    <w:rsid w:val="007A7AB5"/>
    <w:rsid w:val="007A7E2A"/>
    <w:rsid w:val="007B3626"/>
    <w:rsid w:val="007B40B8"/>
    <w:rsid w:val="007B4CEE"/>
    <w:rsid w:val="007C1036"/>
    <w:rsid w:val="007C3E91"/>
    <w:rsid w:val="007C5A0C"/>
    <w:rsid w:val="007D4E54"/>
    <w:rsid w:val="007D56F1"/>
    <w:rsid w:val="007D7860"/>
    <w:rsid w:val="007D78CF"/>
    <w:rsid w:val="007E249F"/>
    <w:rsid w:val="007E753F"/>
    <w:rsid w:val="007F0385"/>
    <w:rsid w:val="007F39E3"/>
    <w:rsid w:val="007F651B"/>
    <w:rsid w:val="007F66F2"/>
    <w:rsid w:val="008025E7"/>
    <w:rsid w:val="008029B3"/>
    <w:rsid w:val="00803058"/>
    <w:rsid w:val="00803CA9"/>
    <w:rsid w:val="00804908"/>
    <w:rsid w:val="008109F9"/>
    <w:rsid w:val="00810B7E"/>
    <w:rsid w:val="00810FB2"/>
    <w:rsid w:val="00812B55"/>
    <w:rsid w:val="008154FD"/>
    <w:rsid w:val="00821EFB"/>
    <w:rsid w:val="00822431"/>
    <w:rsid w:val="008270D6"/>
    <w:rsid w:val="0083020A"/>
    <w:rsid w:val="00830BCB"/>
    <w:rsid w:val="008335FF"/>
    <w:rsid w:val="00834C22"/>
    <w:rsid w:val="00835CD3"/>
    <w:rsid w:val="008406A1"/>
    <w:rsid w:val="00842443"/>
    <w:rsid w:val="008448D6"/>
    <w:rsid w:val="00845C7C"/>
    <w:rsid w:val="00854351"/>
    <w:rsid w:val="00860881"/>
    <w:rsid w:val="008614A9"/>
    <w:rsid w:val="00862375"/>
    <w:rsid w:val="00864DE7"/>
    <w:rsid w:val="008654CA"/>
    <w:rsid w:val="00865FDD"/>
    <w:rsid w:val="00870F02"/>
    <w:rsid w:val="00871787"/>
    <w:rsid w:val="00871928"/>
    <w:rsid w:val="00874120"/>
    <w:rsid w:val="008754CC"/>
    <w:rsid w:val="00877581"/>
    <w:rsid w:val="008848DD"/>
    <w:rsid w:val="00884900"/>
    <w:rsid w:val="00885437"/>
    <w:rsid w:val="00885DDD"/>
    <w:rsid w:val="00891FB7"/>
    <w:rsid w:val="008925E5"/>
    <w:rsid w:val="0089399D"/>
    <w:rsid w:val="008944D4"/>
    <w:rsid w:val="00895237"/>
    <w:rsid w:val="00895927"/>
    <w:rsid w:val="0089623A"/>
    <w:rsid w:val="008A5084"/>
    <w:rsid w:val="008A5CB0"/>
    <w:rsid w:val="008B4E71"/>
    <w:rsid w:val="008B5883"/>
    <w:rsid w:val="008B6D26"/>
    <w:rsid w:val="008B6FC3"/>
    <w:rsid w:val="008C14C8"/>
    <w:rsid w:val="008C1D99"/>
    <w:rsid w:val="008C2F97"/>
    <w:rsid w:val="008C39F9"/>
    <w:rsid w:val="008C3E74"/>
    <w:rsid w:val="008C43DE"/>
    <w:rsid w:val="008C4D61"/>
    <w:rsid w:val="008C633D"/>
    <w:rsid w:val="008C6744"/>
    <w:rsid w:val="008C7AB8"/>
    <w:rsid w:val="008D2B04"/>
    <w:rsid w:val="008D4813"/>
    <w:rsid w:val="008D6C82"/>
    <w:rsid w:val="008E041B"/>
    <w:rsid w:val="008E433B"/>
    <w:rsid w:val="008E6489"/>
    <w:rsid w:val="008F06A1"/>
    <w:rsid w:val="008F4510"/>
    <w:rsid w:val="008F5F7D"/>
    <w:rsid w:val="008F65A6"/>
    <w:rsid w:val="00900BF9"/>
    <w:rsid w:val="0090250D"/>
    <w:rsid w:val="0090594D"/>
    <w:rsid w:val="00911491"/>
    <w:rsid w:val="009152C1"/>
    <w:rsid w:val="009158B0"/>
    <w:rsid w:val="0091595C"/>
    <w:rsid w:val="009165B6"/>
    <w:rsid w:val="00917E7C"/>
    <w:rsid w:val="00922372"/>
    <w:rsid w:val="00923574"/>
    <w:rsid w:val="00925E54"/>
    <w:rsid w:val="00934A98"/>
    <w:rsid w:val="009360EF"/>
    <w:rsid w:val="00936F7E"/>
    <w:rsid w:val="00937189"/>
    <w:rsid w:val="00940A5C"/>
    <w:rsid w:val="00942879"/>
    <w:rsid w:val="0095167E"/>
    <w:rsid w:val="00951E8A"/>
    <w:rsid w:val="0095223E"/>
    <w:rsid w:val="00954A28"/>
    <w:rsid w:val="00954E07"/>
    <w:rsid w:val="00956C3E"/>
    <w:rsid w:val="009616B6"/>
    <w:rsid w:val="00961A49"/>
    <w:rsid w:val="009654A5"/>
    <w:rsid w:val="009658AC"/>
    <w:rsid w:val="00965F8C"/>
    <w:rsid w:val="009660D5"/>
    <w:rsid w:val="0097222D"/>
    <w:rsid w:val="0097253E"/>
    <w:rsid w:val="0097420E"/>
    <w:rsid w:val="00977CAA"/>
    <w:rsid w:val="00983A28"/>
    <w:rsid w:val="009870EA"/>
    <w:rsid w:val="00994744"/>
    <w:rsid w:val="00994AE4"/>
    <w:rsid w:val="009A0357"/>
    <w:rsid w:val="009A2B6B"/>
    <w:rsid w:val="009A3695"/>
    <w:rsid w:val="009A38A5"/>
    <w:rsid w:val="009A4BCE"/>
    <w:rsid w:val="009A54DF"/>
    <w:rsid w:val="009A6E7F"/>
    <w:rsid w:val="009B3260"/>
    <w:rsid w:val="009B466C"/>
    <w:rsid w:val="009C18A3"/>
    <w:rsid w:val="009C25B1"/>
    <w:rsid w:val="009C58BF"/>
    <w:rsid w:val="009C66F1"/>
    <w:rsid w:val="009D0460"/>
    <w:rsid w:val="009D10F5"/>
    <w:rsid w:val="009D448E"/>
    <w:rsid w:val="009D5C04"/>
    <w:rsid w:val="009D6B76"/>
    <w:rsid w:val="009E710A"/>
    <w:rsid w:val="009E7CD6"/>
    <w:rsid w:val="009F061B"/>
    <w:rsid w:val="009F0CD1"/>
    <w:rsid w:val="009F18BD"/>
    <w:rsid w:val="009F3943"/>
    <w:rsid w:val="009F4621"/>
    <w:rsid w:val="009F5E4F"/>
    <w:rsid w:val="00A00307"/>
    <w:rsid w:val="00A041C4"/>
    <w:rsid w:val="00A058BC"/>
    <w:rsid w:val="00A0670A"/>
    <w:rsid w:val="00A07684"/>
    <w:rsid w:val="00A12624"/>
    <w:rsid w:val="00A253D6"/>
    <w:rsid w:val="00A25744"/>
    <w:rsid w:val="00A3009B"/>
    <w:rsid w:val="00A334A2"/>
    <w:rsid w:val="00A33926"/>
    <w:rsid w:val="00A33C21"/>
    <w:rsid w:val="00A40B2E"/>
    <w:rsid w:val="00A45225"/>
    <w:rsid w:val="00A46DB3"/>
    <w:rsid w:val="00A55825"/>
    <w:rsid w:val="00A5738C"/>
    <w:rsid w:val="00A640E7"/>
    <w:rsid w:val="00A669A7"/>
    <w:rsid w:val="00A67D5F"/>
    <w:rsid w:val="00A7046C"/>
    <w:rsid w:val="00A80947"/>
    <w:rsid w:val="00A8274A"/>
    <w:rsid w:val="00A905D6"/>
    <w:rsid w:val="00A90C53"/>
    <w:rsid w:val="00A91507"/>
    <w:rsid w:val="00A92ED9"/>
    <w:rsid w:val="00A9619D"/>
    <w:rsid w:val="00A97545"/>
    <w:rsid w:val="00AA49A8"/>
    <w:rsid w:val="00AA678D"/>
    <w:rsid w:val="00AA6D66"/>
    <w:rsid w:val="00AB22D9"/>
    <w:rsid w:val="00AB2F52"/>
    <w:rsid w:val="00AC080F"/>
    <w:rsid w:val="00AC16FE"/>
    <w:rsid w:val="00AC1D8A"/>
    <w:rsid w:val="00AC27DB"/>
    <w:rsid w:val="00AC7B16"/>
    <w:rsid w:val="00AD0017"/>
    <w:rsid w:val="00AD228A"/>
    <w:rsid w:val="00AD26A9"/>
    <w:rsid w:val="00AD73E0"/>
    <w:rsid w:val="00AD770A"/>
    <w:rsid w:val="00AD7C4B"/>
    <w:rsid w:val="00AF0433"/>
    <w:rsid w:val="00AF16DE"/>
    <w:rsid w:val="00AF1DFE"/>
    <w:rsid w:val="00AF3B79"/>
    <w:rsid w:val="00AF6BC4"/>
    <w:rsid w:val="00AF6C0D"/>
    <w:rsid w:val="00AF6EA7"/>
    <w:rsid w:val="00AF7AC7"/>
    <w:rsid w:val="00B008EC"/>
    <w:rsid w:val="00B0478C"/>
    <w:rsid w:val="00B06FD2"/>
    <w:rsid w:val="00B07544"/>
    <w:rsid w:val="00B12E23"/>
    <w:rsid w:val="00B15FE6"/>
    <w:rsid w:val="00B233BA"/>
    <w:rsid w:val="00B23DA7"/>
    <w:rsid w:val="00B24DD3"/>
    <w:rsid w:val="00B27AF1"/>
    <w:rsid w:val="00B310F8"/>
    <w:rsid w:val="00B31C85"/>
    <w:rsid w:val="00B32908"/>
    <w:rsid w:val="00B340C5"/>
    <w:rsid w:val="00B36582"/>
    <w:rsid w:val="00B40113"/>
    <w:rsid w:val="00B41ED7"/>
    <w:rsid w:val="00B44DE7"/>
    <w:rsid w:val="00B45AD9"/>
    <w:rsid w:val="00B47860"/>
    <w:rsid w:val="00B47EBE"/>
    <w:rsid w:val="00B51933"/>
    <w:rsid w:val="00B52118"/>
    <w:rsid w:val="00B55595"/>
    <w:rsid w:val="00B56F8A"/>
    <w:rsid w:val="00B62185"/>
    <w:rsid w:val="00B6460A"/>
    <w:rsid w:val="00B669A0"/>
    <w:rsid w:val="00B708F7"/>
    <w:rsid w:val="00B70E60"/>
    <w:rsid w:val="00B73C85"/>
    <w:rsid w:val="00B77EF2"/>
    <w:rsid w:val="00B819E0"/>
    <w:rsid w:val="00B87229"/>
    <w:rsid w:val="00B87BD3"/>
    <w:rsid w:val="00B93BFC"/>
    <w:rsid w:val="00B93CB7"/>
    <w:rsid w:val="00B941BE"/>
    <w:rsid w:val="00B94F55"/>
    <w:rsid w:val="00B957FB"/>
    <w:rsid w:val="00B963CB"/>
    <w:rsid w:val="00BA0F6B"/>
    <w:rsid w:val="00BA2D9D"/>
    <w:rsid w:val="00BA300B"/>
    <w:rsid w:val="00BA322D"/>
    <w:rsid w:val="00BA5806"/>
    <w:rsid w:val="00BA63A6"/>
    <w:rsid w:val="00BA646F"/>
    <w:rsid w:val="00BA6A37"/>
    <w:rsid w:val="00BB13BD"/>
    <w:rsid w:val="00BB2948"/>
    <w:rsid w:val="00BB4733"/>
    <w:rsid w:val="00BB5575"/>
    <w:rsid w:val="00BB6D80"/>
    <w:rsid w:val="00BB7C9D"/>
    <w:rsid w:val="00BC0632"/>
    <w:rsid w:val="00BC3429"/>
    <w:rsid w:val="00BC389C"/>
    <w:rsid w:val="00BC492C"/>
    <w:rsid w:val="00BC6D9D"/>
    <w:rsid w:val="00BC7667"/>
    <w:rsid w:val="00BD2301"/>
    <w:rsid w:val="00BD76E6"/>
    <w:rsid w:val="00BD7E49"/>
    <w:rsid w:val="00BE3DE8"/>
    <w:rsid w:val="00BE6984"/>
    <w:rsid w:val="00BE7124"/>
    <w:rsid w:val="00BF179B"/>
    <w:rsid w:val="00BF1D69"/>
    <w:rsid w:val="00BF54B2"/>
    <w:rsid w:val="00C0034F"/>
    <w:rsid w:val="00C0090E"/>
    <w:rsid w:val="00C044ED"/>
    <w:rsid w:val="00C122E7"/>
    <w:rsid w:val="00C12908"/>
    <w:rsid w:val="00C12BDF"/>
    <w:rsid w:val="00C12EA1"/>
    <w:rsid w:val="00C176A0"/>
    <w:rsid w:val="00C219D2"/>
    <w:rsid w:val="00C26343"/>
    <w:rsid w:val="00C306BE"/>
    <w:rsid w:val="00C30B62"/>
    <w:rsid w:val="00C31C32"/>
    <w:rsid w:val="00C324D8"/>
    <w:rsid w:val="00C376D6"/>
    <w:rsid w:val="00C404B8"/>
    <w:rsid w:val="00C4723A"/>
    <w:rsid w:val="00C50F50"/>
    <w:rsid w:val="00C52501"/>
    <w:rsid w:val="00C527FD"/>
    <w:rsid w:val="00C56D91"/>
    <w:rsid w:val="00C6030D"/>
    <w:rsid w:val="00C60952"/>
    <w:rsid w:val="00C60BB2"/>
    <w:rsid w:val="00C716F1"/>
    <w:rsid w:val="00C72BC7"/>
    <w:rsid w:val="00C731FE"/>
    <w:rsid w:val="00C73621"/>
    <w:rsid w:val="00C7475D"/>
    <w:rsid w:val="00C75162"/>
    <w:rsid w:val="00C76755"/>
    <w:rsid w:val="00C81662"/>
    <w:rsid w:val="00C85387"/>
    <w:rsid w:val="00C8627A"/>
    <w:rsid w:val="00C86A1E"/>
    <w:rsid w:val="00C901C5"/>
    <w:rsid w:val="00C938E3"/>
    <w:rsid w:val="00C93AFF"/>
    <w:rsid w:val="00C93ED1"/>
    <w:rsid w:val="00C96257"/>
    <w:rsid w:val="00CA0046"/>
    <w:rsid w:val="00CA39C2"/>
    <w:rsid w:val="00CA4A1F"/>
    <w:rsid w:val="00CA57F5"/>
    <w:rsid w:val="00CA5FF3"/>
    <w:rsid w:val="00CB1E06"/>
    <w:rsid w:val="00CB7961"/>
    <w:rsid w:val="00CC0AFF"/>
    <w:rsid w:val="00CC27BC"/>
    <w:rsid w:val="00CD7697"/>
    <w:rsid w:val="00CE20BB"/>
    <w:rsid w:val="00CE2AB1"/>
    <w:rsid w:val="00CF0DD2"/>
    <w:rsid w:val="00CF650C"/>
    <w:rsid w:val="00CF78AF"/>
    <w:rsid w:val="00CF7DED"/>
    <w:rsid w:val="00CF7E42"/>
    <w:rsid w:val="00D000F7"/>
    <w:rsid w:val="00D010B4"/>
    <w:rsid w:val="00D02AD5"/>
    <w:rsid w:val="00D05A45"/>
    <w:rsid w:val="00D064FD"/>
    <w:rsid w:val="00D1034E"/>
    <w:rsid w:val="00D15FE8"/>
    <w:rsid w:val="00D2090C"/>
    <w:rsid w:val="00D23495"/>
    <w:rsid w:val="00D2472E"/>
    <w:rsid w:val="00D305F0"/>
    <w:rsid w:val="00D34A8A"/>
    <w:rsid w:val="00D35BB5"/>
    <w:rsid w:val="00D36C5D"/>
    <w:rsid w:val="00D41794"/>
    <w:rsid w:val="00D43225"/>
    <w:rsid w:val="00D45680"/>
    <w:rsid w:val="00D51B9D"/>
    <w:rsid w:val="00D5386A"/>
    <w:rsid w:val="00D616AB"/>
    <w:rsid w:val="00D6718A"/>
    <w:rsid w:val="00D67B38"/>
    <w:rsid w:val="00D67F6F"/>
    <w:rsid w:val="00D71453"/>
    <w:rsid w:val="00D73FE5"/>
    <w:rsid w:val="00D741F6"/>
    <w:rsid w:val="00D7548E"/>
    <w:rsid w:val="00D76F3C"/>
    <w:rsid w:val="00D84F16"/>
    <w:rsid w:val="00D86887"/>
    <w:rsid w:val="00D875B3"/>
    <w:rsid w:val="00D96322"/>
    <w:rsid w:val="00DA1973"/>
    <w:rsid w:val="00DA6F51"/>
    <w:rsid w:val="00DB16C0"/>
    <w:rsid w:val="00DB2AE3"/>
    <w:rsid w:val="00DB30DF"/>
    <w:rsid w:val="00DB5221"/>
    <w:rsid w:val="00DB6EBD"/>
    <w:rsid w:val="00DB7AAA"/>
    <w:rsid w:val="00DB7FA5"/>
    <w:rsid w:val="00DC2966"/>
    <w:rsid w:val="00DD1299"/>
    <w:rsid w:val="00DD16EE"/>
    <w:rsid w:val="00DD2F01"/>
    <w:rsid w:val="00DD4880"/>
    <w:rsid w:val="00DD7C41"/>
    <w:rsid w:val="00DE37D5"/>
    <w:rsid w:val="00DE37D8"/>
    <w:rsid w:val="00DE5E02"/>
    <w:rsid w:val="00DF1518"/>
    <w:rsid w:val="00DF2D33"/>
    <w:rsid w:val="00DF664F"/>
    <w:rsid w:val="00DF6D1B"/>
    <w:rsid w:val="00E02E0D"/>
    <w:rsid w:val="00E0378D"/>
    <w:rsid w:val="00E0463A"/>
    <w:rsid w:val="00E050DC"/>
    <w:rsid w:val="00E069D3"/>
    <w:rsid w:val="00E07216"/>
    <w:rsid w:val="00E10F23"/>
    <w:rsid w:val="00E1286F"/>
    <w:rsid w:val="00E14816"/>
    <w:rsid w:val="00E15DB6"/>
    <w:rsid w:val="00E16109"/>
    <w:rsid w:val="00E164B4"/>
    <w:rsid w:val="00E20B05"/>
    <w:rsid w:val="00E21060"/>
    <w:rsid w:val="00E23B0B"/>
    <w:rsid w:val="00E25667"/>
    <w:rsid w:val="00E265F6"/>
    <w:rsid w:val="00E33D7C"/>
    <w:rsid w:val="00E367E9"/>
    <w:rsid w:val="00E37EEE"/>
    <w:rsid w:val="00E401F3"/>
    <w:rsid w:val="00E42EE0"/>
    <w:rsid w:val="00E439D5"/>
    <w:rsid w:val="00E461BC"/>
    <w:rsid w:val="00E47ACF"/>
    <w:rsid w:val="00E51650"/>
    <w:rsid w:val="00E57270"/>
    <w:rsid w:val="00E573F7"/>
    <w:rsid w:val="00E62321"/>
    <w:rsid w:val="00E642A2"/>
    <w:rsid w:val="00E649ED"/>
    <w:rsid w:val="00E65EB7"/>
    <w:rsid w:val="00E66E95"/>
    <w:rsid w:val="00E70DB2"/>
    <w:rsid w:val="00E72016"/>
    <w:rsid w:val="00E74DBC"/>
    <w:rsid w:val="00E8204B"/>
    <w:rsid w:val="00E82771"/>
    <w:rsid w:val="00E83F19"/>
    <w:rsid w:val="00E875ED"/>
    <w:rsid w:val="00E91040"/>
    <w:rsid w:val="00E9125F"/>
    <w:rsid w:val="00E925EA"/>
    <w:rsid w:val="00E9348F"/>
    <w:rsid w:val="00E93BE9"/>
    <w:rsid w:val="00E96173"/>
    <w:rsid w:val="00E963E4"/>
    <w:rsid w:val="00E97348"/>
    <w:rsid w:val="00E97524"/>
    <w:rsid w:val="00EA094D"/>
    <w:rsid w:val="00EA2A1B"/>
    <w:rsid w:val="00EA35A0"/>
    <w:rsid w:val="00EA647D"/>
    <w:rsid w:val="00EB0242"/>
    <w:rsid w:val="00EB257E"/>
    <w:rsid w:val="00EB3763"/>
    <w:rsid w:val="00EB4003"/>
    <w:rsid w:val="00EB5A70"/>
    <w:rsid w:val="00EB66B3"/>
    <w:rsid w:val="00EC2657"/>
    <w:rsid w:val="00EC5D9C"/>
    <w:rsid w:val="00ED2ECD"/>
    <w:rsid w:val="00ED54C7"/>
    <w:rsid w:val="00ED7E7D"/>
    <w:rsid w:val="00EE2E09"/>
    <w:rsid w:val="00EE2E8B"/>
    <w:rsid w:val="00EE6892"/>
    <w:rsid w:val="00EE7F53"/>
    <w:rsid w:val="00EF1A7C"/>
    <w:rsid w:val="00EF5BF9"/>
    <w:rsid w:val="00EF736C"/>
    <w:rsid w:val="00F0025B"/>
    <w:rsid w:val="00F02387"/>
    <w:rsid w:val="00F0263E"/>
    <w:rsid w:val="00F04469"/>
    <w:rsid w:val="00F05929"/>
    <w:rsid w:val="00F070AC"/>
    <w:rsid w:val="00F07943"/>
    <w:rsid w:val="00F1025B"/>
    <w:rsid w:val="00F116FC"/>
    <w:rsid w:val="00F136C1"/>
    <w:rsid w:val="00F172FD"/>
    <w:rsid w:val="00F23967"/>
    <w:rsid w:val="00F23FA7"/>
    <w:rsid w:val="00F31009"/>
    <w:rsid w:val="00F31A08"/>
    <w:rsid w:val="00F34092"/>
    <w:rsid w:val="00F35157"/>
    <w:rsid w:val="00F376F8"/>
    <w:rsid w:val="00F40F53"/>
    <w:rsid w:val="00F427CB"/>
    <w:rsid w:val="00F431E2"/>
    <w:rsid w:val="00F4325F"/>
    <w:rsid w:val="00F465AA"/>
    <w:rsid w:val="00F46B64"/>
    <w:rsid w:val="00F47FDB"/>
    <w:rsid w:val="00F5073C"/>
    <w:rsid w:val="00F51F10"/>
    <w:rsid w:val="00F531F4"/>
    <w:rsid w:val="00F532AA"/>
    <w:rsid w:val="00F56BBA"/>
    <w:rsid w:val="00F57722"/>
    <w:rsid w:val="00F62073"/>
    <w:rsid w:val="00F657C6"/>
    <w:rsid w:val="00F65E02"/>
    <w:rsid w:val="00F66575"/>
    <w:rsid w:val="00F67D79"/>
    <w:rsid w:val="00F709C9"/>
    <w:rsid w:val="00F75780"/>
    <w:rsid w:val="00F81988"/>
    <w:rsid w:val="00F854C5"/>
    <w:rsid w:val="00F86E07"/>
    <w:rsid w:val="00F91016"/>
    <w:rsid w:val="00F91E41"/>
    <w:rsid w:val="00F95B7E"/>
    <w:rsid w:val="00F96562"/>
    <w:rsid w:val="00F96C32"/>
    <w:rsid w:val="00FA0263"/>
    <w:rsid w:val="00FA1725"/>
    <w:rsid w:val="00FA23C3"/>
    <w:rsid w:val="00FA2424"/>
    <w:rsid w:val="00FA4971"/>
    <w:rsid w:val="00FA5A28"/>
    <w:rsid w:val="00FB1049"/>
    <w:rsid w:val="00FB35E7"/>
    <w:rsid w:val="00FB48D7"/>
    <w:rsid w:val="00FB4DB8"/>
    <w:rsid w:val="00FB6A42"/>
    <w:rsid w:val="00FB7F79"/>
    <w:rsid w:val="00FC01DD"/>
    <w:rsid w:val="00FC1BE5"/>
    <w:rsid w:val="00FC3DBF"/>
    <w:rsid w:val="00FC72E9"/>
    <w:rsid w:val="00FC7B88"/>
    <w:rsid w:val="00FD787D"/>
    <w:rsid w:val="00FE1024"/>
    <w:rsid w:val="00FE641B"/>
    <w:rsid w:val="00FE7A0A"/>
    <w:rsid w:val="00FF0C1F"/>
    <w:rsid w:val="00FF1858"/>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C27BC"/>
    <w:pPr>
      <w:keepNext/>
      <w:tabs>
        <w:tab w:val="center" w:pos="4680"/>
      </w:tabs>
      <w:suppressAutoHyphens/>
      <w:spacing w:before="360" w:after="240" w:line="240" w:lineRule="atLeast"/>
      <w:jc w:val="center"/>
      <w:outlineLvl w:val="7"/>
    </w:pPr>
    <w:rPr>
      <w:rFonts w:ascii="Palatino Linotype" w:eastAsia="Times New Roman" w:hAnsi="Palatino Linotype" w:cs="Times New Roman"/>
      <w:spacing w:val="-4"/>
      <w:sz w:val="32"/>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E0"/>
    <w:pPr>
      <w:ind w:left="720"/>
      <w:contextualSpacing/>
    </w:pPr>
  </w:style>
  <w:style w:type="paragraph" w:customStyle="1" w:styleId="Default">
    <w:name w:val="Default"/>
    <w:rsid w:val="001B63F6"/>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CC27BC"/>
    <w:rPr>
      <w:rFonts w:ascii="Palatino Linotype" w:eastAsia="Times New Roman" w:hAnsi="Palatino Linotype" w:cs="Times New Roman"/>
      <w:spacing w:val="-4"/>
      <w:sz w:val="32"/>
      <w:szCs w:val="36"/>
      <w:lang w:val="fr-FR"/>
    </w:rPr>
  </w:style>
  <w:style w:type="paragraph" w:styleId="BodyText2">
    <w:name w:val="Body Text 2"/>
    <w:basedOn w:val="Normal"/>
    <w:link w:val="BodyText2Char"/>
    <w:semiHidden/>
    <w:rsid w:val="00CC27BC"/>
    <w:pPr>
      <w:widowControl w:val="0"/>
      <w:tabs>
        <w:tab w:val="center" w:pos="4680"/>
      </w:tabs>
      <w:suppressAutoHyphens/>
      <w:autoSpaceDE w:val="0"/>
      <w:autoSpaceDN w:val="0"/>
      <w:adjustRightInd w:val="0"/>
      <w:spacing w:before="1200" w:after="240" w:line="240" w:lineRule="atLeast"/>
      <w:jc w:val="center"/>
    </w:pPr>
    <w:rPr>
      <w:rFonts w:ascii="Book Antiqua" w:eastAsia="Times New Roman" w:hAnsi="Book Antiqua" w:cs="Times New Roman"/>
      <w:b/>
      <w:bCs/>
      <w:spacing w:val="-4"/>
      <w:sz w:val="36"/>
      <w:szCs w:val="33"/>
    </w:rPr>
  </w:style>
  <w:style w:type="character" w:customStyle="1" w:styleId="BodyText2Char">
    <w:name w:val="Body Text 2 Char"/>
    <w:basedOn w:val="DefaultParagraphFont"/>
    <w:link w:val="BodyText2"/>
    <w:semiHidden/>
    <w:rsid w:val="00CC27BC"/>
    <w:rPr>
      <w:rFonts w:ascii="Book Antiqua" w:eastAsia="Times New Roman" w:hAnsi="Book Antiqua" w:cs="Times New Roman"/>
      <w:b/>
      <w:bCs/>
      <w:spacing w:val="-4"/>
      <w:sz w:val="36"/>
      <w:szCs w:val="33"/>
    </w:rPr>
  </w:style>
  <w:style w:type="character" w:styleId="Hyperlink">
    <w:name w:val="Hyperlink"/>
    <w:basedOn w:val="DefaultParagraphFont"/>
    <w:uiPriority w:val="99"/>
    <w:unhideWhenUsed/>
    <w:rsid w:val="00262C72"/>
    <w:rPr>
      <w:color w:val="0000FF" w:themeColor="hyperlink"/>
      <w:u w:val="single"/>
    </w:rPr>
  </w:style>
  <w:style w:type="paragraph" w:styleId="BalloonText">
    <w:name w:val="Balloon Text"/>
    <w:basedOn w:val="Normal"/>
    <w:link w:val="BalloonTextChar"/>
    <w:uiPriority w:val="99"/>
    <w:semiHidden/>
    <w:unhideWhenUsed/>
    <w:rsid w:val="006A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E8"/>
    <w:rPr>
      <w:rFonts w:ascii="Tahoma" w:hAnsi="Tahoma" w:cs="Tahoma"/>
      <w:sz w:val="16"/>
      <w:szCs w:val="16"/>
    </w:rPr>
  </w:style>
  <w:style w:type="table" w:styleId="TableGrid">
    <w:name w:val="Table Grid"/>
    <w:basedOn w:val="TableNormal"/>
    <w:uiPriority w:val="59"/>
    <w:rsid w:val="00E25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C27BC"/>
    <w:pPr>
      <w:keepNext/>
      <w:tabs>
        <w:tab w:val="center" w:pos="4680"/>
      </w:tabs>
      <w:suppressAutoHyphens/>
      <w:spacing w:before="360" w:after="240" w:line="240" w:lineRule="atLeast"/>
      <w:jc w:val="center"/>
      <w:outlineLvl w:val="7"/>
    </w:pPr>
    <w:rPr>
      <w:rFonts w:ascii="Palatino Linotype" w:eastAsia="Times New Roman" w:hAnsi="Palatino Linotype" w:cs="Times New Roman"/>
      <w:spacing w:val="-4"/>
      <w:sz w:val="32"/>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E0"/>
    <w:pPr>
      <w:ind w:left="720"/>
      <w:contextualSpacing/>
    </w:pPr>
  </w:style>
  <w:style w:type="paragraph" w:customStyle="1" w:styleId="Default">
    <w:name w:val="Default"/>
    <w:rsid w:val="001B63F6"/>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CC27BC"/>
    <w:rPr>
      <w:rFonts w:ascii="Palatino Linotype" w:eastAsia="Times New Roman" w:hAnsi="Palatino Linotype" w:cs="Times New Roman"/>
      <w:spacing w:val="-4"/>
      <w:sz w:val="32"/>
      <w:szCs w:val="36"/>
      <w:lang w:val="fr-FR"/>
    </w:rPr>
  </w:style>
  <w:style w:type="paragraph" w:styleId="BodyText2">
    <w:name w:val="Body Text 2"/>
    <w:basedOn w:val="Normal"/>
    <w:link w:val="BodyText2Char"/>
    <w:semiHidden/>
    <w:rsid w:val="00CC27BC"/>
    <w:pPr>
      <w:widowControl w:val="0"/>
      <w:tabs>
        <w:tab w:val="center" w:pos="4680"/>
      </w:tabs>
      <w:suppressAutoHyphens/>
      <w:autoSpaceDE w:val="0"/>
      <w:autoSpaceDN w:val="0"/>
      <w:adjustRightInd w:val="0"/>
      <w:spacing w:before="1200" w:after="240" w:line="240" w:lineRule="atLeast"/>
      <w:jc w:val="center"/>
    </w:pPr>
    <w:rPr>
      <w:rFonts w:ascii="Book Antiqua" w:eastAsia="Times New Roman" w:hAnsi="Book Antiqua" w:cs="Times New Roman"/>
      <w:b/>
      <w:bCs/>
      <w:spacing w:val="-4"/>
      <w:sz w:val="36"/>
      <w:szCs w:val="33"/>
    </w:rPr>
  </w:style>
  <w:style w:type="character" w:customStyle="1" w:styleId="BodyText2Char">
    <w:name w:val="Body Text 2 Char"/>
    <w:basedOn w:val="DefaultParagraphFont"/>
    <w:link w:val="BodyText2"/>
    <w:semiHidden/>
    <w:rsid w:val="00CC27BC"/>
    <w:rPr>
      <w:rFonts w:ascii="Book Antiqua" w:eastAsia="Times New Roman" w:hAnsi="Book Antiqua" w:cs="Times New Roman"/>
      <w:b/>
      <w:bCs/>
      <w:spacing w:val="-4"/>
      <w:sz w:val="36"/>
      <w:szCs w:val="33"/>
    </w:rPr>
  </w:style>
  <w:style w:type="character" w:styleId="Hyperlink">
    <w:name w:val="Hyperlink"/>
    <w:basedOn w:val="DefaultParagraphFont"/>
    <w:uiPriority w:val="99"/>
    <w:unhideWhenUsed/>
    <w:rsid w:val="00262C72"/>
    <w:rPr>
      <w:color w:val="0000FF" w:themeColor="hyperlink"/>
      <w:u w:val="single"/>
    </w:rPr>
  </w:style>
  <w:style w:type="paragraph" w:styleId="BalloonText">
    <w:name w:val="Balloon Text"/>
    <w:basedOn w:val="Normal"/>
    <w:link w:val="BalloonTextChar"/>
    <w:uiPriority w:val="99"/>
    <w:semiHidden/>
    <w:unhideWhenUsed/>
    <w:rsid w:val="006A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E8"/>
    <w:rPr>
      <w:rFonts w:ascii="Tahoma" w:hAnsi="Tahoma" w:cs="Tahoma"/>
      <w:sz w:val="16"/>
      <w:szCs w:val="16"/>
    </w:rPr>
  </w:style>
  <w:style w:type="table" w:styleId="TableGrid">
    <w:name w:val="Table Grid"/>
    <w:basedOn w:val="TableNormal"/>
    <w:uiPriority w:val="59"/>
    <w:rsid w:val="00E25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7268">
      <w:bodyDiv w:val="1"/>
      <w:marLeft w:val="0"/>
      <w:marRight w:val="0"/>
      <w:marTop w:val="0"/>
      <w:marBottom w:val="0"/>
      <w:divBdr>
        <w:top w:val="none" w:sz="0" w:space="0" w:color="auto"/>
        <w:left w:val="none" w:sz="0" w:space="0" w:color="auto"/>
        <w:bottom w:val="none" w:sz="0" w:space="0" w:color="auto"/>
        <w:right w:val="none" w:sz="0" w:space="0" w:color="auto"/>
      </w:divBdr>
      <w:divsChild>
        <w:div w:id="1003974390">
          <w:marLeft w:val="547"/>
          <w:marRight w:val="0"/>
          <w:marTop w:val="115"/>
          <w:marBottom w:val="0"/>
          <w:divBdr>
            <w:top w:val="none" w:sz="0" w:space="0" w:color="auto"/>
            <w:left w:val="none" w:sz="0" w:space="0" w:color="auto"/>
            <w:bottom w:val="none" w:sz="0" w:space="0" w:color="auto"/>
            <w:right w:val="none" w:sz="0" w:space="0" w:color="auto"/>
          </w:divBdr>
        </w:div>
      </w:divsChild>
    </w:div>
    <w:div w:id="1389569994">
      <w:bodyDiv w:val="1"/>
      <w:marLeft w:val="0"/>
      <w:marRight w:val="0"/>
      <w:marTop w:val="0"/>
      <w:marBottom w:val="30"/>
      <w:divBdr>
        <w:top w:val="none" w:sz="0" w:space="0" w:color="auto"/>
        <w:left w:val="none" w:sz="0" w:space="0" w:color="auto"/>
        <w:bottom w:val="none" w:sz="0" w:space="0" w:color="auto"/>
        <w:right w:val="none" w:sz="0" w:space="0" w:color="auto"/>
      </w:divBdr>
      <w:divsChild>
        <w:div w:id="656229676">
          <w:marLeft w:val="0"/>
          <w:marRight w:val="0"/>
          <w:marTop w:val="0"/>
          <w:marBottom w:val="0"/>
          <w:divBdr>
            <w:top w:val="none" w:sz="0" w:space="0" w:color="auto"/>
            <w:left w:val="none" w:sz="0" w:space="0" w:color="auto"/>
            <w:bottom w:val="none" w:sz="0" w:space="0" w:color="auto"/>
            <w:right w:val="none" w:sz="0" w:space="0" w:color="auto"/>
          </w:divBdr>
          <w:divsChild>
            <w:div w:id="1243950161">
              <w:marLeft w:val="0"/>
              <w:marRight w:val="0"/>
              <w:marTop w:val="0"/>
              <w:marBottom w:val="0"/>
              <w:divBdr>
                <w:top w:val="none" w:sz="0" w:space="0" w:color="auto"/>
                <w:left w:val="none" w:sz="0" w:space="0" w:color="auto"/>
                <w:bottom w:val="none" w:sz="0" w:space="0" w:color="auto"/>
                <w:right w:val="none" w:sz="0" w:space="0" w:color="auto"/>
              </w:divBdr>
              <w:divsChild>
                <w:div w:id="547033262">
                  <w:marLeft w:val="0"/>
                  <w:marRight w:val="0"/>
                  <w:marTop w:val="0"/>
                  <w:marBottom w:val="0"/>
                  <w:divBdr>
                    <w:top w:val="none" w:sz="0" w:space="0" w:color="auto"/>
                    <w:left w:val="none" w:sz="0" w:space="0" w:color="auto"/>
                    <w:bottom w:val="none" w:sz="0" w:space="0" w:color="auto"/>
                    <w:right w:val="none" w:sz="0" w:space="0" w:color="auto"/>
                  </w:divBdr>
                </w:div>
                <w:div w:id="1941328650">
                  <w:marLeft w:val="0"/>
                  <w:marRight w:val="0"/>
                  <w:marTop w:val="0"/>
                  <w:marBottom w:val="0"/>
                  <w:divBdr>
                    <w:top w:val="none" w:sz="0" w:space="0" w:color="auto"/>
                    <w:left w:val="none" w:sz="0" w:space="0" w:color="auto"/>
                    <w:bottom w:val="none" w:sz="0" w:space="0" w:color="auto"/>
                    <w:right w:val="none" w:sz="0" w:space="0" w:color="auto"/>
                  </w:divBdr>
                  <w:divsChild>
                    <w:div w:id="1132140222">
                      <w:marLeft w:val="0"/>
                      <w:marRight w:val="0"/>
                      <w:marTop w:val="0"/>
                      <w:marBottom w:val="0"/>
                      <w:divBdr>
                        <w:top w:val="none" w:sz="0" w:space="0" w:color="auto"/>
                        <w:left w:val="none" w:sz="0" w:space="0" w:color="auto"/>
                        <w:bottom w:val="none" w:sz="0" w:space="0" w:color="auto"/>
                        <w:right w:val="none" w:sz="0" w:space="0" w:color="auto"/>
                      </w:divBdr>
                      <w:divsChild>
                        <w:div w:id="247231378">
                          <w:marLeft w:val="0"/>
                          <w:marRight w:val="0"/>
                          <w:marTop w:val="0"/>
                          <w:marBottom w:val="0"/>
                          <w:divBdr>
                            <w:top w:val="none" w:sz="0" w:space="0" w:color="auto"/>
                            <w:left w:val="none" w:sz="0" w:space="0" w:color="auto"/>
                            <w:bottom w:val="none" w:sz="0" w:space="0" w:color="auto"/>
                            <w:right w:val="none" w:sz="0" w:space="0" w:color="auto"/>
                          </w:divBdr>
                          <w:divsChild>
                            <w:div w:id="1274635892">
                              <w:marLeft w:val="0"/>
                              <w:marRight w:val="0"/>
                              <w:marTop w:val="0"/>
                              <w:marBottom w:val="0"/>
                              <w:divBdr>
                                <w:top w:val="none" w:sz="0" w:space="0" w:color="auto"/>
                                <w:left w:val="none" w:sz="0" w:space="0" w:color="auto"/>
                                <w:bottom w:val="none" w:sz="0" w:space="0" w:color="auto"/>
                                <w:right w:val="none" w:sz="0" w:space="0" w:color="auto"/>
                              </w:divBdr>
                              <w:divsChild>
                                <w:div w:id="984310182">
                                  <w:marLeft w:val="0"/>
                                  <w:marRight w:val="0"/>
                                  <w:marTop w:val="0"/>
                                  <w:marBottom w:val="0"/>
                                  <w:divBdr>
                                    <w:top w:val="none" w:sz="0" w:space="0" w:color="auto"/>
                                    <w:left w:val="none" w:sz="0" w:space="0" w:color="auto"/>
                                    <w:bottom w:val="none" w:sz="0" w:space="0" w:color="auto"/>
                                    <w:right w:val="none" w:sz="0" w:space="0" w:color="auto"/>
                                  </w:divBdr>
                                  <w:divsChild>
                                    <w:div w:id="986856093">
                                      <w:marLeft w:val="0"/>
                                      <w:marRight w:val="0"/>
                                      <w:marTop w:val="0"/>
                                      <w:marBottom w:val="0"/>
                                      <w:divBdr>
                                        <w:top w:val="none" w:sz="0" w:space="0" w:color="auto"/>
                                        <w:left w:val="none" w:sz="0" w:space="0" w:color="auto"/>
                                        <w:bottom w:val="none" w:sz="0" w:space="0" w:color="auto"/>
                                        <w:right w:val="none" w:sz="0" w:space="0" w:color="auto"/>
                                      </w:divBdr>
                                      <w:divsChild>
                                        <w:div w:id="1909416405">
                                          <w:marLeft w:val="0"/>
                                          <w:marRight w:val="0"/>
                                          <w:marTop w:val="0"/>
                                          <w:marBottom w:val="0"/>
                                          <w:divBdr>
                                            <w:top w:val="none" w:sz="0" w:space="0" w:color="auto"/>
                                            <w:left w:val="none" w:sz="0" w:space="0" w:color="auto"/>
                                            <w:bottom w:val="none" w:sz="0" w:space="0" w:color="auto"/>
                                            <w:right w:val="none" w:sz="0" w:space="0" w:color="auto"/>
                                          </w:divBdr>
                                        </w:div>
                                        <w:div w:id="1888639300">
                                          <w:marLeft w:val="0"/>
                                          <w:marRight w:val="0"/>
                                          <w:marTop w:val="0"/>
                                          <w:marBottom w:val="0"/>
                                          <w:divBdr>
                                            <w:top w:val="none" w:sz="0" w:space="0" w:color="auto"/>
                                            <w:left w:val="none" w:sz="0" w:space="0" w:color="auto"/>
                                            <w:bottom w:val="none" w:sz="0" w:space="0" w:color="auto"/>
                                            <w:right w:val="none" w:sz="0" w:space="0" w:color="auto"/>
                                          </w:divBdr>
                                        </w:div>
                                      </w:divsChild>
                                    </w:div>
                                    <w:div w:id="814182716">
                                      <w:marLeft w:val="0"/>
                                      <w:marRight w:val="4650"/>
                                      <w:marTop w:val="0"/>
                                      <w:marBottom w:val="0"/>
                                      <w:divBdr>
                                        <w:top w:val="none" w:sz="0" w:space="0" w:color="auto"/>
                                        <w:left w:val="none" w:sz="0" w:space="0" w:color="auto"/>
                                        <w:bottom w:val="none" w:sz="0" w:space="0" w:color="auto"/>
                                        <w:right w:val="none" w:sz="0" w:space="0" w:color="auto"/>
                                      </w:divBdr>
                                      <w:divsChild>
                                        <w:div w:id="770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EBB6-741A-4E99-B40A-8E5309D4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Bernard Leon Muller</dc:creator>
  <cp:lastModifiedBy>Inje Oueslati</cp:lastModifiedBy>
  <cp:revision>4</cp:revision>
  <cp:lastPrinted>2013-09-27T17:31:00Z</cp:lastPrinted>
  <dcterms:created xsi:type="dcterms:W3CDTF">2013-10-01T21:48:00Z</dcterms:created>
  <dcterms:modified xsi:type="dcterms:W3CDTF">2013-10-03T21:17:00Z</dcterms:modified>
</cp:coreProperties>
</file>